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73A2" w14:textId="77777777" w:rsidR="00A857EB" w:rsidRDefault="00A857EB" w:rsidP="00D074FB">
      <w:pPr>
        <w:pStyle w:val="Heading2"/>
        <w:jc w:val="both"/>
        <w:rPr>
          <w:rFonts w:ascii="Arial" w:hAnsi="Arial" w:cs="Arial"/>
          <w:sz w:val="30"/>
          <w:szCs w:val="30"/>
        </w:rPr>
      </w:pPr>
    </w:p>
    <w:p w14:paraId="60A64E4C" w14:textId="00E46427" w:rsidR="00A857EB" w:rsidRDefault="00A857EB" w:rsidP="00D074FB">
      <w:pPr>
        <w:pStyle w:val="Heading2"/>
        <w:jc w:val="both"/>
        <w:rPr>
          <w:rFonts w:ascii="Arial" w:hAnsi="Arial" w:cs="Arial"/>
          <w:sz w:val="30"/>
          <w:szCs w:val="30"/>
        </w:rPr>
      </w:pPr>
      <w:r>
        <w:rPr>
          <w:noProof/>
        </w:rPr>
        <w:drawing>
          <wp:inline distT="0" distB="0" distL="0" distR="0" wp14:anchorId="1F8384B0" wp14:editId="438CE978">
            <wp:extent cx="1567180" cy="732022"/>
            <wp:effectExtent l="0" t="0" r="0" b="0"/>
            <wp:docPr id="508235900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35900" name="Picture 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16" cy="74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E1621" w14:textId="77777777" w:rsidR="00A857EB" w:rsidRDefault="00A857EB" w:rsidP="00D074FB">
      <w:pPr>
        <w:pStyle w:val="Heading2"/>
        <w:jc w:val="both"/>
        <w:rPr>
          <w:rFonts w:ascii="Arial" w:hAnsi="Arial" w:cs="Arial"/>
          <w:sz w:val="30"/>
          <w:szCs w:val="30"/>
        </w:rPr>
      </w:pPr>
    </w:p>
    <w:p w14:paraId="7EE886B1" w14:textId="77777777" w:rsidR="009747A8" w:rsidRDefault="009747A8" w:rsidP="00D074FB">
      <w:pPr>
        <w:pStyle w:val="Heading2"/>
        <w:jc w:val="both"/>
        <w:rPr>
          <w:rFonts w:ascii="Arial" w:hAnsi="Arial" w:cs="Arial"/>
          <w:sz w:val="24"/>
        </w:rPr>
      </w:pPr>
    </w:p>
    <w:p w14:paraId="73E12B9C" w14:textId="21C876CF" w:rsidR="00A857EB" w:rsidRDefault="00A857EB" w:rsidP="00D074FB">
      <w:pPr>
        <w:pStyle w:val="Heading2"/>
        <w:jc w:val="both"/>
        <w:rPr>
          <w:rFonts w:ascii="Arial" w:hAnsi="Arial" w:cs="Arial"/>
          <w:sz w:val="30"/>
          <w:szCs w:val="30"/>
        </w:rPr>
      </w:pPr>
      <w:r w:rsidRPr="00C116FE">
        <w:rPr>
          <w:rFonts w:ascii="Arial" w:hAnsi="Arial" w:cs="Arial"/>
          <w:sz w:val="24"/>
        </w:rPr>
        <w:t>Supervising Solicitor/Caseworker</w:t>
      </w:r>
      <w:r w:rsidR="006967CD">
        <w:rPr>
          <w:rFonts w:ascii="Arial" w:hAnsi="Arial" w:cs="Arial"/>
          <w:sz w:val="24"/>
        </w:rPr>
        <w:t xml:space="preserve"> with the</w:t>
      </w:r>
      <w:r w:rsidR="00F60036">
        <w:rPr>
          <w:rFonts w:ascii="Arial" w:hAnsi="Arial" w:cs="Arial"/>
          <w:sz w:val="24"/>
        </w:rPr>
        <w:t xml:space="preserve"> </w:t>
      </w:r>
      <w:r w:rsidRPr="00C116FE">
        <w:rPr>
          <w:rFonts w:ascii="Arial" w:hAnsi="Arial" w:cs="Arial"/>
          <w:sz w:val="24"/>
        </w:rPr>
        <w:t>Kids in Need of Defen</w:t>
      </w:r>
      <w:r>
        <w:rPr>
          <w:rFonts w:ascii="Arial" w:hAnsi="Arial" w:cs="Arial"/>
          <w:sz w:val="24"/>
        </w:rPr>
        <w:t>s</w:t>
      </w:r>
      <w:r w:rsidRPr="00C116FE">
        <w:rPr>
          <w:rFonts w:ascii="Arial" w:hAnsi="Arial" w:cs="Arial"/>
          <w:sz w:val="24"/>
        </w:rPr>
        <w:t xml:space="preserve">e UK Project </w:t>
      </w:r>
      <w:r w:rsidR="006967CD">
        <w:rPr>
          <w:rFonts w:ascii="Arial" w:hAnsi="Arial" w:cs="Arial"/>
          <w:sz w:val="24"/>
        </w:rPr>
        <w:t xml:space="preserve">based </w:t>
      </w:r>
      <w:r w:rsidR="00B73856">
        <w:rPr>
          <w:rFonts w:ascii="Arial" w:hAnsi="Arial" w:cs="Arial"/>
          <w:sz w:val="24"/>
        </w:rPr>
        <w:t xml:space="preserve">at the </w:t>
      </w:r>
      <w:r w:rsidRPr="00C116FE">
        <w:rPr>
          <w:rFonts w:ascii="Arial" w:hAnsi="Arial" w:cs="Arial"/>
          <w:sz w:val="24"/>
        </w:rPr>
        <w:t>Migrant and Refugee Children’s Legal Unit (MiCLU)</w:t>
      </w:r>
      <w:r w:rsidR="00F60036">
        <w:rPr>
          <w:rFonts w:ascii="Arial" w:hAnsi="Arial" w:cs="Arial"/>
          <w:sz w:val="24"/>
        </w:rPr>
        <w:t>,</w:t>
      </w:r>
      <w:r w:rsidRPr="00C116FE">
        <w:rPr>
          <w:rFonts w:ascii="Arial" w:hAnsi="Arial" w:cs="Arial"/>
          <w:sz w:val="24"/>
        </w:rPr>
        <w:t xml:space="preserve"> </w:t>
      </w:r>
      <w:r w:rsidR="006967CD">
        <w:rPr>
          <w:rFonts w:ascii="Arial" w:hAnsi="Arial" w:cs="Arial"/>
          <w:sz w:val="24"/>
        </w:rPr>
        <w:t xml:space="preserve">at </w:t>
      </w:r>
      <w:r w:rsidRPr="00C116FE">
        <w:rPr>
          <w:rFonts w:ascii="Arial" w:hAnsi="Arial" w:cs="Arial"/>
          <w:sz w:val="24"/>
        </w:rPr>
        <w:t>Isling</w:t>
      </w:r>
      <w:r>
        <w:rPr>
          <w:rFonts w:ascii="Arial" w:hAnsi="Arial" w:cs="Arial"/>
          <w:sz w:val="24"/>
        </w:rPr>
        <w:t>t</w:t>
      </w:r>
      <w:r w:rsidRPr="00C116FE">
        <w:rPr>
          <w:rFonts w:ascii="Arial" w:hAnsi="Arial" w:cs="Arial"/>
          <w:sz w:val="24"/>
        </w:rPr>
        <w:t>on Law Centre</w:t>
      </w:r>
    </w:p>
    <w:p w14:paraId="2B9C4135" w14:textId="77777777" w:rsidR="00A857EB" w:rsidRDefault="00A857EB" w:rsidP="00D074FB">
      <w:pPr>
        <w:pStyle w:val="Heading2"/>
        <w:jc w:val="both"/>
        <w:rPr>
          <w:rFonts w:ascii="Arial" w:hAnsi="Arial" w:cs="Arial"/>
          <w:sz w:val="30"/>
          <w:szCs w:val="30"/>
        </w:rPr>
      </w:pPr>
    </w:p>
    <w:p w14:paraId="1CD5FC0C" w14:textId="205302B9" w:rsidR="00502940" w:rsidRPr="00C116FE" w:rsidRDefault="00502940" w:rsidP="00D074FB">
      <w:pPr>
        <w:pStyle w:val="Heading2"/>
        <w:jc w:val="both"/>
        <w:rPr>
          <w:rFonts w:ascii="Arial" w:hAnsi="Arial" w:cs="Arial"/>
          <w:sz w:val="30"/>
          <w:szCs w:val="30"/>
        </w:rPr>
      </w:pPr>
      <w:r w:rsidRPr="00C116FE">
        <w:rPr>
          <w:rFonts w:ascii="Arial" w:hAnsi="Arial" w:cs="Arial"/>
          <w:sz w:val="30"/>
          <w:szCs w:val="30"/>
        </w:rPr>
        <w:t>Job Description</w:t>
      </w:r>
    </w:p>
    <w:p w14:paraId="5B4640DE" w14:textId="77777777" w:rsidR="00985438" w:rsidRPr="00C116FE" w:rsidRDefault="00985438" w:rsidP="00D0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ECE2EA" w14:textId="75764839" w:rsidR="004E37FA" w:rsidRDefault="00502940" w:rsidP="00D0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b/>
          <w:bCs/>
          <w:sz w:val="24"/>
          <w:szCs w:val="24"/>
        </w:rPr>
        <w:t>Responsible to:</w:t>
      </w:r>
      <w:r w:rsidRPr="00C116FE">
        <w:rPr>
          <w:rFonts w:ascii="Arial" w:hAnsi="Arial" w:cs="Arial"/>
          <w:sz w:val="24"/>
          <w:szCs w:val="24"/>
        </w:rPr>
        <w:t xml:space="preserve"> </w:t>
      </w:r>
      <w:r w:rsidR="00726FD6">
        <w:rPr>
          <w:rFonts w:ascii="Arial" w:hAnsi="Arial" w:cs="Arial"/>
          <w:sz w:val="24"/>
          <w:szCs w:val="24"/>
        </w:rPr>
        <w:t>Legal Practice Lead, MiCLU</w:t>
      </w:r>
      <w:r w:rsidR="0059445D" w:rsidRPr="00C116FE">
        <w:rPr>
          <w:rFonts w:ascii="Arial" w:hAnsi="Arial" w:cs="Arial"/>
          <w:sz w:val="24"/>
          <w:szCs w:val="24"/>
        </w:rPr>
        <w:t>, Islington Law Centre</w:t>
      </w:r>
      <w:r w:rsidR="00AB3931">
        <w:rPr>
          <w:rFonts w:ascii="Arial" w:hAnsi="Arial" w:cs="Arial"/>
          <w:sz w:val="24"/>
          <w:szCs w:val="24"/>
        </w:rPr>
        <w:t xml:space="preserve"> </w:t>
      </w:r>
    </w:p>
    <w:p w14:paraId="12F1C1AF" w14:textId="77777777" w:rsidR="00B23BFE" w:rsidRDefault="00B23BFE" w:rsidP="00D0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D6A496" w14:textId="7E41627B" w:rsidR="00B23BFE" w:rsidRDefault="00B23BFE" w:rsidP="00D0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BFE">
        <w:rPr>
          <w:rFonts w:ascii="Arial" w:hAnsi="Arial" w:cs="Arial"/>
          <w:b/>
          <w:bCs/>
          <w:sz w:val="24"/>
          <w:szCs w:val="24"/>
        </w:rPr>
        <w:t>Salary:</w:t>
      </w:r>
      <w:r>
        <w:rPr>
          <w:rFonts w:ascii="Arial" w:hAnsi="Arial" w:cs="Arial"/>
          <w:sz w:val="24"/>
          <w:szCs w:val="24"/>
        </w:rPr>
        <w:t xml:space="preserve">  £24,000 to £26,400 pa for 3 days per week (21 hrs) Equivalent to £40,000 to £44,000 pa FTE.</w:t>
      </w:r>
    </w:p>
    <w:p w14:paraId="7D708FEC" w14:textId="77777777" w:rsidR="00B23BFE" w:rsidRDefault="00B23BFE" w:rsidP="00D0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69A300" w14:textId="22C325A5" w:rsidR="00B23BFE" w:rsidRDefault="00B23BFE" w:rsidP="00D0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days annual leave plus bank holidays (pro rata)</w:t>
      </w:r>
    </w:p>
    <w:p w14:paraId="55BDAE0A" w14:textId="77777777" w:rsidR="00985438" w:rsidRPr="00C116FE" w:rsidRDefault="00985438" w:rsidP="00D0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04EB80" w14:textId="003B4F45" w:rsidR="00274085" w:rsidRPr="00C116FE" w:rsidRDefault="003E04B7" w:rsidP="00D074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16FE">
        <w:rPr>
          <w:rFonts w:ascii="Arial" w:hAnsi="Arial" w:cs="Arial"/>
          <w:b/>
          <w:sz w:val="24"/>
          <w:szCs w:val="24"/>
          <w:u w:val="single"/>
        </w:rPr>
        <w:t>M</w:t>
      </w:r>
      <w:r w:rsidR="00274085" w:rsidRPr="00C116FE">
        <w:rPr>
          <w:rFonts w:ascii="Arial" w:hAnsi="Arial" w:cs="Arial"/>
          <w:b/>
          <w:sz w:val="24"/>
          <w:szCs w:val="24"/>
          <w:u w:val="single"/>
        </w:rPr>
        <w:t>ain responsibilities and activities</w:t>
      </w:r>
    </w:p>
    <w:p w14:paraId="50CB62FE" w14:textId="18428AB2" w:rsidR="00274085" w:rsidRPr="00C116FE" w:rsidRDefault="00274085" w:rsidP="00D0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21034" w14:textId="53FF8C19" w:rsidR="00A04228" w:rsidRPr="00C116FE" w:rsidRDefault="00A04228" w:rsidP="00D0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The</w:t>
      </w:r>
      <w:r w:rsidR="00421FF1" w:rsidRPr="00C116FE">
        <w:rPr>
          <w:rFonts w:ascii="Arial" w:hAnsi="Arial" w:cs="Arial"/>
          <w:sz w:val="24"/>
          <w:szCs w:val="24"/>
        </w:rPr>
        <w:t xml:space="preserve"> main duties are set out below </w:t>
      </w:r>
      <w:r w:rsidRPr="00C116FE">
        <w:rPr>
          <w:rFonts w:ascii="Arial" w:hAnsi="Arial" w:cs="Arial"/>
          <w:sz w:val="24"/>
          <w:szCs w:val="24"/>
        </w:rPr>
        <w:t>but this is a</w:t>
      </w:r>
      <w:r w:rsidR="00A857EB">
        <w:rPr>
          <w:rFonts w:ascii="Arial" w:hAnsi="Arial" w:cs="Arial"/>
          <w:sz w:val="24"/>
          <w:szCs w:val="24"/>
        </w:rPr>
        <w:t xml:space="preserve"> developing</w:t>
      </w:r>
      <w:r w:rsidRPr="00C116FE">
        <w:rPr>
          <w:rFonts w:ascii="Arial" w:hAnsi="Arial" w:cs="Arial"/>
          <w:sz w:val="24"/>
          <w:szCs w:val="24"/>
        </w:rPr>
        <w:t xml:space="preserve"> project and the activities and responsibilities may evolve as it develops. </w:t>
      </w:r>
      <w:r w:rsidR="00235025" w:rsidRPr="00235025">
        <w:rPr>
          <w:rFonts w:ascii="Arial" w:hAnsi="Arial" w:cs="Arial"/>
          <w:sz w:val="24"/>
          <w:szCs w:val="24"/>
        </w:rPr>
        <w:t>The post holder will work closely with the MiCLU project staff group and</w:t>
      </w:r>
      <w:r w:rsidR="00A857EB">
        <w:rPr>
          <w:rFonts w:ascii="Arial" w:hAnsi="Arial" w:cs="Arial"/>
          <w:sz w:val="24"/>
          <w:szCs w:val="24"/>
        </w:rPr>
        <w:t xml:space="preserve"> wider</w:t>
      </w:r>
      <w:r w:rsidR="00235025" w:rsidRPr="00235025">
        <w:rPr>
          <w:rFonts w:ascii="Arial" w:hAnsi="Arial" w:cs="Arial"/>
          <w:sz w:val="24"/>
          <w:szCs w:val="24"/>
        </w:rPr>
        <w:t xml:space="preserve"> Islington Law Centre lawyers.</w:t>
      </w:r>
    </w:p>
    <w:p w14:paraId="19755ED2" w14:textId="77777777" w:rsidR="003E04B7" w:rsidRPr="00C116FE" w:rsidRDefault="003E04B7" w:rsidP="00D074FB">
      <w:pPr>
        <w:pStyle w:val="Heading3"/>
        <w:jc w:val="both"/>
        <w:rPr>
          <w:rFonts w:ascii="Arial" w:eastAsiaTheme="minorHAnsi" w:hAnsi="Arial" w:cs="Arial"/>
          <w:b w:val="0"/>
          <w:bCs w:val="0"/>
        </w:rPr>
      </w:pPr>
    </w:p>
    <w:p w14:paraId="4797DC70" w14:textId="3F56D1B8" w:rsidR="003E04B7" w:rsidRPr="00C116FE" w:rsidRDefault="003E04B7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16FE">
        <w:rPr>
          <w:rFonts w:ascii="Arial" w:hAnsi="Arial" w:cs="Arial"/>
          <w:b/>
          <w:i/>
          <w:sz w:val="24"/>
          <w:szCs w:val="24"/>
        </w:rPr>
        <w:t>Legal Casework and Supervision</w:t>
      </w:r>
    </w:p>
    <w:p w14:paraId="4B67507C" w14:textId="77777777" w:rsidR="00ED76A4" w:rsidRPr="00C116FE" w:rsidRDefault="00ED76A4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0A33F0E" w14:textId="77777777" w:rsidR="00235025" w:rsidRDefault="003E04B7" w:rsidP="00235025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Processing referrals into the project and undertaking an initial analysis of the work needed in each case before passing referrals on to the pro bono teams in partner firms.</w:t>
      </w:r>
    </w:p>
    <w:p w14:paraId="524BB3CB" w14:textId="67CFC28E" w:rsidR="00235025" w:rsidRDefault="00235025" w:rsidP="00235025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</w:t>
      </w:r>
      <w:r w:rsidRPr="00235025">
        <w:rPr>
          <w:rFonts w:ascii="Arial" w:hAnsi="Arial" w:cs="Arial"/>
          <w:sz w:val="24"/>
          <w:szCs w:val="24"/>
        </w:rPr>
        <w:t xml:space="preserve"> steps to ensure that all advice, submissions and other legal work undertaken by pro bono lawyers in partner firms is undertaken to a sufficiently high level of accuracy and quality</w:t>
      </w:r>
      <w:r w:rsidR="00FF27B8">
        <w:rPr>
          <w:rFonts w:ascii="Arial" w:hAnsi="Arial" w:cs="Arial"/>
          <w:sz w:val="24"/>
          <w:szCs w:val="24"/>
        </w:rPr>
        <w:t>.</w:t>
      </w:r>
    </w:p>
    <w:p w14:paraId="5655DC17" w14:textId="77777777" w:rsidR="00235025" w:rsidRPr="00235025" w:rsidRDefault="003E04B7" w:rsidP="00235025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235025">
        <w:rPr>
          <w:rFonts w:ascii="Arial" w:hAnsi="Arial" w:cs="Arial"/>
          <w:sz w:val="24"/>
          <w:szCs w:val="24"/>
        </w:rPr>
        <w:t>Attending client interviews with pro bono lawyers and then providing ongoing supervisory support, including via telephone and email</w:t>
      </w:r>
      <w:r w:rsidR="0089380E" w:rsidRPr="00235025">
        <w:rPr>
          <w:rFonts w:ascii="Arial" w:hAnsi="Arial" w:cs="Arial"/>
          <w:sz w:val="24"/>
          <w:szCs w:val="24"/>
        </w:rPr>
        <w:t xml:space="preserve"> and by the development of template materials</w:t>
      </w:r>
      <w:r w:rsidRPr="00235025">
        <w:rPr>
          <w:rFonts w:ascii="Arial" w:hAnsi="Arial" w:cs="Arial"/>
          <w:sz w:val="24"/>
          <w:szCs w:val="24"/>
        </w:rPr>
        <w:t>.</w:t>
      </w:r>
    </w:p>
    <w:p w14:paraId="30C708CF" w14:textId="77777777" w:rsidR="00DD2D45" w:rsidRDefault="00235025" w:rsidP="00235025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235025">
        <w:rPr>
          <w:rFonts w:ascii="Arial" w:hAnsi="Arial" w:cs="Arial"/>
          <w:sz w:val="24"/>
          <w:szCs w:val="24"/>
        </w:rPr>
        <w:t>Conduct</w:t>
      </w:r>
      <w:r>
        <w:rPr>
          <w:rFonts w:ascii="Arial" w:hAnsi="Arial" w:cs="Arial"/>
          <w:sz w:val="24"/>
          <w:szCs w:val="24"/>
        </w:rPr>
        <w:t>ing and co-ordinating</w:t>
      </w:r>
      <w:r w:rsidRPr="00235025">
        <w:rPr>
          <w:rFonts w:ascii="Arial" w:hAnsi="Arial" w:cs="Arial"/>
          <w:sz w:val="24"/>
          <w:szCs w:val="24"/>
        </w:rPr>
        <w:t xml:space="preserve"> immigration/asylum/public law casework and litigation on behalf of organisations and individuals</w:t>
      </w:r>
      <w:r w:rsidR="00DD2D45">
        <w:rPr>
          <w:rFonts w:ascii="Arial" w:hAnsi="Arial" w:cs="Arial"/>
          <w:sz w:val="24"/>
          <w:szCs w:val="24"/>
        </w:rPr>
        <w:t>.</w:t>
      </w:r>
    </w:p>
    <w:p w14:paraId="0B9870E5" w14:textId="2D5D2CC2" w:rsidR="00235025" w:rsidRPr="00235025" w:rsidRDefault="00235025" w:rsidP="00235025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235025">
        <w:rPr>
          <w:rFonts w:ascii="Arial" w:hAnsi="Arial" w:cs="Arial"/>
          <w:sz w:val="24"/>
          <w:szCs w:val="24"/>
        </w:rPr>
        <w:t>Conduct</w:t>
      </w:r>
      <w:r>
        <w:rPr>
          <w:rFonts w:ascii="Arial" w:hAnsi="Arial" w:cs="Arial"/>
          <w:sz w:val="24"/>
          <w:szCs w:val="24"/>
        </w:rPr>
        <w:t>ing</w:t>
      </w:r>
      <w:r w:rsidRPr="00235025">
        <w:rPr>
          <w:rFonts w:ascii="Arial" w:hAnsi="Arial" w:cs="Arial"/>
          <w:sz w:val="24"/>
          <w:szCs w:val="24"/>
        </w:rPr>
        <w:t xml:space="preserve"> legal research where necessary or supervis</w:t>
      </w:r>
      <w:r w:rsidR="00051D79">
        <w:rPr>
          <w:rFonts w:ascii="Arial" w:hAnsi="Arial" w:cs="Arial"/>
          <w:sz w:val="24"/>
          <w:szCs w:val="24"/>
        </w:rPr>
        <w:t>ing</w:t>
      </w:r>
      <w:r w:rsidRPr="00235025">
        <w:rPr>
          <w:rFonts w:ascii="Arial" w:hAnsi="Arial" w:cs="Arial"/>
          <w:sz w:val="24"/>
          <w:szCs w:val="24"/>
        </w:rPr>
        <w:t xml:space="preserve"> Law Centre volunteers or pro bono lawyers undertaking such work</w:t>
      </w:r>
      <w:r w:rsidR="00FF27B8">
        <w:rPr>
          <w:rFonts w:ascii="Arial" w:hAnsi="Arial" w:cs="Arial"/>
          <w:sz w:val="24"/>
          <w:szCs w:val="24"/>
        </w:rPr>
        <w:t>.</w:t>
      </w:r>
    </w:p>
    <w:p w14:paraId="080AA72C" w14:textId="77777777" w:rsidR="003E04B7" w:rsidRPr="00C116FE" w:rsidRDefault="003E04B7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Providing onward referral to other solicitors and services as appropriate.</w:t>
      </w:r>
    </w:p>
    <w:p w14:paraId="1BBBF3C4" w14:textId="422D8EC3" w:rsidR="003E04B7" w:rsidRDefault="003E04B7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Maintaining standards of professi</w:t>
      </w:r>
      <w:r w:rsidR="00341B15" w:rsidRPr="00C116FE">
        <w:rPr>
          <w:rFonts w:ascii="Arial" w:hAnsi="Arial" w:cs="Arial"/>
          <w:sz w:val="24"/>
          <w:szCs w:val="24"/>
        </w:rPr>
        <w:t xml:space="preserve">onal service in line with </w:t>
      </w:r>
      <w:r w:rsidR="00C116FE" w:rsidRPr="00C116FE">
        <w:rPr>
          <w:rFonts w:ascii="Arial" w:hAnsi="Arial" w:cs="Arial"/>
          <w:sz w:val="24"/>
          <w:szCs w:val="24"/>
        </w:rPr>
        <w:t>MiCLU</w:t>
      </w:r>
      <w:r w:rsidR="00341B15" w:rsidRPr="00C116FE">
        <w:rPr>
          <w:rFonts w:ascii="Arial" w:hAnsi="Arial" w:cs="Arial"/>
          <w:sz w:val="24"/>
          <w:szCs w:val="24"/>
        </w:rPr>
        <w:t>’s</w:t>
      </w:r>
      <w:r w:rsidR="00070C33" w:rsidRPr="00C116FE">
        <w:rPr>
          <w:rFonts w:ascii="Arial" w:hAnsi="Arial" w:cs="Arial"/>
          <w:sz w:val="24"/>
          <w:szCs w:val="24"/>
        </w:rPr>
        <w:t xml:space="preserve"> </w:t>
      </w:r>
      <w:r w:rsidRPr="00C116FE">
        <w:rPr>
          <w:rFonts w:ascii="Arial" w:hAnsi="Arial" w:cs="Arial"/>
          <w:sz w:val="24"/>
          <w:szCs w:val="24"/>
        </w:rPr>
        <w:t>standards and procedures documents and complying with all policies</w:t>
      </w:r>
      <w:r w:rsidR="005D641B" w:rsidRPr="00C116FE">
        <w:rPr>
          <w:rFonts w:ascii="Arial" w:hAnsi="Arial" w:cs="Arial"/>
          <w:sz w:val="24"/>
          <w:szCs w:val="24"/>
        </w:rPr>
        <w:t xml:space="preserve"> of </w:t>
      </w:r>
      <w:r w:rsidR="00C116FE" w:rsidRPr="00C116FE">
        <w:rPr>
          <w:rFonts w:ascii="Arial" w:hAnsi="Arial" w:cs="Arial"/>
          <w:sz w:val="24"/>
          <w:szCs w:val="24"/>
        </w:rPr>
        <w:t>MiCLU and ILC</w:t>
      </w:r>
      <w:r w:rsidRPr="00C116FE">
        <w:rPr>
          <w:rFonts w:ascii="Arial" w:hAnsi="Arial" w:cs="Arial"/>
          <w:sz w:val="24"/>
          <w:szCs w:val="24"/>
        </w:rPr>
        <w:t>.</w:t>
      </w:r>
    </w:p>
    <w:p w14:paraId="5968B50B" w14:textId="172B38A6" w:rsidR="00235025" w:rsidRDefault="00C116FE" w:rsidP="00235025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Promoting and embedding MiCLU’s child-centred practice in the representation of children and young people</w:t>
      </w:r>
      <w:r w:rsidR="00992318">
        <w:rPr>
          <w:rFonts w:ascii="Arial" w:hAnsi="Arial" w:cs="Arial"/>
          <w:sz w:val="24"/>
          <w:szCs w:val="24"/>
        </w:rPr>
        <w:t>.</w:t>
      </w:r>
    </w:p>
    <w:p w14:paraId="12E6473F" w14:textId="77777777" w:rsidR="00DD2D45" w:rsidRDefault="00235025" w:rsidP="00235025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235025">
        <w:rPr>
          <w:rFonts w:ascii="Arial" w:hAnsi="Arial" w:cs="Arial"/>
          <w:sz w:val="24"/>
          <w:szCs w:val="24"/>
        </w:rPr>
        <w:t>Record</w:t>
      </w:r>
      <w:r w:rsidR="00992318">
        <w:rPr>
          <w:rFonts w:ascii="Arial" w:hAnsi="Arial" w:cs="Arial"/>
          <w:sz w:val="24"/>
          <w:szCs w:val="24"/>
        </w:rPr>
        <w:t>ing</w:t>
      </w:r>
      <w:r w:rsidRPr="00235025">
        <w:rPr>
          <w:rFonts w:ascii="Arial" w:hAnsi="Arial" w:cs="Arial"/>
          <w:sz w:val="24"/>
          <w:szCs w:val="24"/>
        </w:rPr>
        <w:t xml:space="preserve"> all work undertaken and carry</w:t>
      </w:r>
      <w:r w:rsidR="00992318">
        <w:rPr>
          <w:rFonts w:ascii="Arial" w:hAnsi="Arial" w:cs="Arial"/>
          <w:sz w:val="24"/>
          <w:szCs w:val="24"/>
        </w:rPr>
        <w:t>ing</w:t>
      </w:r>
      <w:r w:rsidRPr="00235025">
        <w:rPr>
          <w:rFonts w:ascii="Arial" w:hAnsi="Arial" w:cs="Arial"/>
          <w:sz w:val="24"/>
          <w:szCs w:val="24"/>
        </w:rPr>
        <w:t xml:space="preserve"> out billing, ensuring all income is accounted for on each case in accordance with the requirements of the Kids in Need of Defense UK funders</w:t>
      </w:r>
      <w:r w:rsidR="00DD2D45">
        <w:rPr>
          <w:rFonts w:ascii="Arial" w:hAnsi="Arial" w:cs="Arial"/>
          <w:sz w:val="24"/>
          <w:szCs w:val="24"/>
        </w:rPr>
        <w:t>.</w:t>
      </w:r>
    </w:p>
    <w:p w14:paraId="53F3696C" w14:textId="04939AA6" w:rsidR="00235025" w:rsidRPr="00235025" w:rsidRDefault="00235025" w:rsidP="00235025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235025">
        <w:rPr>
          <w:rFonts w:ascii="Arial" w:hAnsi="Arial" w:cs="Arial"/>
          <w:sz w:val="24"/>
          <w:szCs w:val="24"/>
        </w:rPr>
        <w:t xml:space="preserve">The post holder will be expected to carry out their casework with a high degree of professionalism, and to conduct their work in such a way as to meet relevant external </w:t>
      </w:r>
      <w:r w:rsidRPr="00235025">
        <w:rPr>
          <w:rFonts w:ascii="Arial" w:hAnsi="Arial" w:cs="Arial"/>
          <w:sz w:val="24"/>
          <w:szCs w:val="24"/>
        </w:rPr>
        <w:lastRenderedPageBreak/>
        <w:t>standards</w:t>
      </w:r>
      <w:r w:rsidR="00DD2D45">
        <w:rPr>
          <w:rFonts w:ascii="Arial" w:hAnsi="Arial" w:cs="Arial"/>
          <w:sz w:val="24"/>
          <w:szCs w:val="24"/>
        </w:rPr>
        <w:t xml:space="preserve">. </w:t>
      </w:r>
      <w:r w:rsidRPr="00235025">
        <w:rPr>
          <w:rFonts w:ascii="Arial" w:hAnsi="Arial" w:cs="Arial"/>
          <w:sz w:val="24"/>
          <w:szCs w:val="24"/>
        </w:rPr>
        <w:t>S/he will also be expected to meet the Law Centre’s performance targets in relation to time recording</w:t>
      </w:r>
      <w:r>
        <w:rPr>
          <w:rFonts w:ascii="Arial" w:hAnsi="Arial" w:cs="Arial"/>
          <w:sz w:val="24"/>
          <w:szCs w:val="24"/>
        </w:rPr>
        <w:t>.</w:t>
      </w:r>
      <w:r w:rsidRPr="00235025">
        <w:rPr>
          <w:rFonts w:ascii="Arial" w:hAnsi="Arial" w:cs="Arial"/>
          <w:sz w:val="24"/>
          <w:szCs w:val="24"/>
        </w:rPr>
        <w:t xml:space="preserve"> </w:t>
      </w:r>
    </w:p>
    <w:p w14:paraId="14836333" w14:textId="77777777" w:rsidR="003E04B7" w:rsidRPr="00C116FE" w:rsidRDefault="003E04B7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Complying with accreditation and professional standards.</w:t>
      </w:r>
    </w:p>
    <w:p w14:paraId="4860F00D" w14:textId="77777777" w:rsidR="00ED76A4" w:rsidRPr="00C116FE" w:rsidRDefault="00ED76A4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CC8B4C6" w14:textId="77777777" w:rsidR="00DD2D45" w:rsidRDefault="00DD2D45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DEBF49A" w14:textId="5BC2D741" w:rsidR="003E04B7" w:rsidRPr="00C116FE" w:rsidRDefault="003E04B7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16FE">
        <w:rPr>
          <w:rFonts w:ascii="Arial" w:hAnsi="Arial" w:cs="Arial"/>
          <w:b/>
          <w:i/>
          <w:sz w:val="24"/>
          <w:szCs w:val="24"/>
        </w:rPr>
        <w:t>Training and Development</w:t>
      </w:r>
    </w:p>
    <w:p w14:paraId="55877359" w14:textId="77777777" w:rsidR="00ED76A4" w:rsidRPr="00C116FE" w:rsidRDefault="00ED76A4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BC44FB8" w14:textId="1D8FEF86" w:rsidR="003E04B7" w:rsidRPr="00C116FE" w:rsidRDefault="003E04B7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Working in partners</w:t>
      </w:r>
      <w:r w:rsidR="00C90E84" w:rsidRPr="00C116FE">
        <w:rPr>
          <w:rFonts w:ascii="Arial" w:hAnsi="Arial" w:cs="Arial"/>
          <w:sz w:val="24"/>
          <w:szCs w:val="24"/>
        </w:rPr>
        <w:t>hip with the other Supervising s</w:t>
      </w:r>
      <w:r w:rsidRPr="00C116FE">
        <w:rPr>
          <w:rFonts w:ascii="Arial" w:hAnsi="Arial" w:cs="Arial"/>
          <w:sz w:val="24"/>
          <w:szCs w:val="24"/>
        </w:rPr>
        <w:t>olicitors</w:t>
      </w:r>
      <w:r w:rsidR="00C90E84" w:rsidRPr="00C116FE">
        <w:rPr>
          <w:rFonts w:ascii="Arial" w:hAnsi="Arial" w:cs="Arial"/>
          <w:sz w:val="24"/>
          <w:szCs w:val="24"/>
        </w:rPr>
        <w:t>/l</w:t>
      </w:r>
      <w:r w:rsidR="00ED3081" w:rsidRPr="00C116FE">
        <w:rPr>
          <w:rFonts w:ascii="Arial" w:hAnsi="Arial" w:cs="Arial"/>
          <w:sz w:val="24"/>
          <w:szCs w:val="24"/>
        </w:rPr>
        <w:t>awyers</w:t>
      </w:r>
      <w:r w:rsidRPr="00C116FE">
        <w:rPr>
          <w:rFonts w:ascii="Arial" w:hAnsi="Arial" w:cs="Arial"/>
          <w:sz w:val="24"/>
          <w:szCs w:val="24"/>
        </w:rPr>
        <w:t xml:space="preserve"> to</w:t>
      </w:r>
      <w:r w:rsidR="00ED3081" w:rsidRPr="00C116FE">
        <w:rPr>
          <w:rFonts w:ascii="Arial" w:hAnsi="Arial" w:cs="Arial"/>
          <w:sz w:val="24"/>
          <w:szCs w:val="24"/>
        </w:rPr>
        <w:t>:</w:t>
      </w:r>
    </w:p>
    <w:p w14:paraId="392EE981" w14:textId="77777777" w:rsidR="00BB184F" w:rsidRPr="00C116FE" w:rsidRDefault="00BB184F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13B5C1" w14:textId="6F584E1A" w:rsidR="003E04B7" w:rsidRPr="00C116FE" w:rsidRDefault="003E04B7" w:rsidP="00BB184F">
      <w:pPr>
        <w:pStyle w:val="ListParagraph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Develop and deliver</w:t>
      </w:r>
      <w:r w:rsidR="00C116FE">
        <w:rPr>
          <w:rFonts w:ascii="Arial" w:hAnsi="Arial" w:cs="Arial"/>
          <w:sz w:val="24"/>
          <w:szCs w:val="24"/>
        </w:rPr>
        <w:t xml:space="preserve"> legal and practical</w:t>
      </w:r>
      <w:r w:rsidRPr="00C116FE">
        <w:rPr>
          <w:rFonts w:ascii="Arial" w:hAnsi="Arial" w:cs="Arial"/>
          <w:sz w:val="24"/>
          <w:szCs w:val="24"/>
        </w:rPr>
        <w:t xml:space="preserve"> training to pro bono lawyers recruited to the project.</w:t>
      </w:r>
    </w:p>
    <w:p w14:paraId="70596E37" w14:textId="5D14202D" w:rsidR="00ED3081" w:rsidRPr="00C116FE" w:rsidRDefault="0082012E" w:rsidP="00BB184F">
      <w:pPr>
        <w:pStyle w:val="ListParagraph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Maintain, and revise</w:t>
      </w:r>
      <w:r w:rsidR="003E04B7" w:rsidRPr="00C116FE">
        <w:rPr>
          <w:rFonts w:ascii="Arial" w:hAnsi="Arial" w:cs="Arial"/>
          <w:sz w:val="24"/>
          <w:szCs w:val="24"/>
        </w:rPr>
        <w:t xml:space="preserve"> where necessary, </w:t>
      </w:r>
      <w:r w:rsidR="0063770E" w:rsidRPr="00C116FE">
        <w:rPr>
          <w:rFonts w:ascii="Arial" w:hAnsi="Arial" w:cs="Arial"/>
          <w:sz w:val="24"/>
          <w:szCs w:val="24"/>
        </w:rPr>
        <w:t>tr</w:t>
      </w:r>
      <w:r w:rsidR="0085643C" w:rsidRPr="00C116FE">
        <w:rPr>
          <w:rFonts w:ascii="Arial" w:hAnsi="Arial" w:cs="Arial"/>
          <w:sz w:val="24"/>
          <w:szCs w:val="24"/>
        </w:rPr>
        <w:t xml:space="preserve">aining notes, advocates manual, </w:t>
      </w:r>
      <w:r w:rsidR="003E04B7" w:rsidRPr="00C116FE">
        <w:rPr>
          <w:rFonts w:ascii="Arial" w:hAnsi="Arial" w:cs="Arial"/>
          <w:sz w:val="24"/>
          <w:szCs w:val="24"/>
        </w:rPr>
        <w:t>procedures, policies,  referral form</w:t>
      </w:r>
      <w:r w:rsidR="00D550D8" w:rsidRPr="00C116FE">
        <w:rPr>
          <w:rFonts w:ascii="Arial" w:hAnsi="Arial" w:cs="Arial"/>
          <w:sz w:val="24"/>
          <w:szCs w:val="24"/>
        </w:rPr>
        <w:t>s</w:t>
      </w:r>
      <w:r w:rsidR="003E04B7" w:rsidRPr="00C116FE">
        <w:rPr>
          <w:rFonts w:ascii="Arial" w:hAnsi="Arial" w:cs="Arial"/>
          <w:sz w:val="24"/>
          <w:szCs w:val="24"/>
        </w:rPr>
        <w:t>, letters of authority, pro forma attendance note</w:t>
      </w:r>
      <w:r w:rsidR="00B65D59">
        <w:rPr>
          <w:rFonts w:ascii="Arial" w:hAnsi="Arial" w:cs="Arial"/>
          <w:sz w:val="24"/>
          <w:szCs w:val="24"/>
        </w:rPr>
        <w:t>s</w:t>
      </w:r>
      <w:r w:rsidR="003E04B7" w:rsidRPr="00C116FE">
        <w:rPr>
          <w:rFonts w:ascii="Arial" w:hAnsi="Arial" w:cs="Arial"/>
          <w:sz w:val="24"/>
          <w:szCs w:val="24"/>
        </w:rPr>
        <w:t>, template letters, etc.</w:t>
      </w:r>
      <w:r w:rsidR="00070C33" w:rsidRPr="00C116FE">
        <w:rPr>
          <w:rFonts w:ascii="Arial" w:hAnsi="Arial" w:cs="Arial"/>
          <w:sz w:val="24"/>
          <w:szCs w:val="24"/>
        </w:rPr>
        <w:t xml:space="preserve"> </w:t>
      </w:r>
    </w:p>
    <w:p w14:paraId="1D26A0E8" w14:textId="77777777" w:rsidR="0085643C" w:rsidRPr="00C116FE" w:rsidRDefault="0085643C" w:rsidP="0085643C">
      <w:pPr>
        <w:pStyle w:val="ListParagraph"/>
        <w:tabs>
          <w:tab w:val="left" w:pos="175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0676541F" w14:textId="23B48954" w:rsidR="003E04B7" w:rsidRPr="00C116FE" w:rsidRDefault="00070C33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16FE">
        <w:rPr>
          <w:rFonts w:ascii="Arial" w:hAnsi="Arial" w:cs="Arial"/>
          <w:b/>
          <w:i/>
          <w:sz w:val="24"/>
          <w:szCs w:val="24"/>
        </w:rPr>
        <w:t xml:space="preserve">Partnership </w:t>
      </w:r>
      <w:r w:rsidR="0082012E" w:rsidRPr="00C116FE">
        <w:rPr>
          <w:rFonts w:ascii="Arial" w:hAnsi="Arial" w:cs="Arial"/>
          <w:b/>
          <w:i/>
          <w:sz w:val="24"/>
          <w:szCs w:val="24"/>
        </w:rPr>
        <w:t>and Stakeholder Management</w:t>
      </w:r>
    </w:p>
    <w:p w14:paraId="6DF79894" w14:textId="77777777" w:rsidR="0085643C" w:rsidRPr="00C116FE" w:rsidRDefault="0085643C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E09B73E" w14:textId="648430C2" w:rsidR="00C81454" w:rsidRPr="00C116FE" w:rsidRDefault="00C81454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 xml:space="preserve">Working within the values, aims and objectives and in furtherance </w:t>
      </w:r>
      <w:r w:rsidR="00726FD6">
        <w:rPr>
          <w:rFonts w:ascii="Arial" w:hAnsi="Arial" w:cs="Arial"/>
          <w:sz w:val="24"/>
          <w:szCs w:val="24"/>
        </w:rPr>
        <w:t>of work plans agreed by the KIN</w:t>
      </w:r>
      <w:r w:rsidRPr="00C116FE">
        <w:rPr>
          <w:rFonts w:ascii="Arial" w:hAnsi="Arial" w:cs="Arial"/>
          <w:sz w:val="24"/>
          <w:szCs w:val="24"/>
        </w:rPr>
        <w:t>D UK’s Steering Group.</w:t>
      </w:r>
    </w:p>
    <w:p w14:paraId="67E83FAC" w14:textId="05044CC1" w:rsidR="00070C33" w:rsidRPr="00C116FE" w:rsidRDefault="00726FD6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 involvement with</w:t>
      </w:r>
      <w:r w:rsidR="00070C33" w:rsidRPr="00C11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KIN</w:t>
      </w:r>
      <w:r w:rsidR="0057067C" w:rsidRPr="00C116FE">
        <w:rPr>
          <w:rFonts w:ascii="Arial" w:hAnsi="Arial" w:cs="Arial"/>
          <w:sz w:val="24"/>
          <w:szCs w:val="24"/>
        </w:rPr>
        <w:t xml:space="preserve">D UK’s </w:t>
      </w:r>
      <w:r w:rsidR="00070C33" w:rsidRPr="00C116FE">
        <w:rPr>
          <w:rFonts w:ascii="Arial" w:hAnsi="Arial" w:cs="Arial"/>
          <w:sz w:val="24"/>
          <w:szCs w:val="24"/>
        </w:rPr>
        <w:t>National Co-ordinator to manage</w:t>
      </w:r>
      <w:r w:rsidR="00AC0848" w:rsidRPr="00C116FE">
        <w:rPr>
          <w:rFonts w:ascii="Arial" w:hAnsi="Arial" w:cs="Arial"/>
          <w:sz w:val="24"/>
          <w:szCs w:val="24"/>
        </w:rPr>
        <w:t xml:space="preserve"> </w:t>
      </w:r>
      <w:r w:rsidR="00070C33" w:rsidRPr="00C116FE">
        <w:rPr>
          <w:rFonts w:ascii="Arial" w:hAnsi="Arial" w:cs="Arial"/>
          <w:sz w:val="24"/>
          <w:szCs w:val="24"/>
        </w:rPr>
        <w:t>and</w:t>
      </w:r>
      <w:r w:rsidR="00AC0848" w:rsidRPr="00C116FE">
        <w:rPr>
          <w:rFonts w:ascii="Arial" w:hAnsi="Arial" w:cs="Arial"/>
          <w:sz w:val="24"/>
          <w:szCs w:val="24"/>
        </w:rPr>
        <w:t xml:space="preserve"> collaborate on</w:t>
      </w:r>
      <w:r w:rsidR="00070C33" w:rsidRPr="00C116FE">
        <w:rPr>
          <w:rFonts w:ascii="Arial" w:hAnsi="Arial" w:cs="Arial"/>
          <w:sz w:val="24"/>
          <w:szCs w:val="24"/>
        </w:rPr>
        <w:t xml:space="preserve"> the progress and development of the project</w:t>
      </w:r>
      <w:r w:rsidR="00BC1F87" w:rsidRPr="00C116FE">
        <w:rPr>
          <w:rFonts w:ascii="Arial" w:hAnsi="Arial" w:cs="Arial"/>
          <w:sz w:val="24"/>
          <w:szCs w:val="24"/>
        </w:rPr>
        <w:t>.</w:t>
      </w:r>
    </w:p>
    <w:p w14:paraId="0485D28D" w14:textId="08FCBAC1" w:rsidR="003E04B7" w:rsidRPr="00C116FE" w:rsidRDefault="003E04B7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Co-ordinating and overseeing the delivery of project</w:t>
      </w:r>
      <w:r w:rsidR="0082012E" w:rsidRPr="00C116FE">
        <w:rPr>
          <w:rFonts w:ascii="Arial" w:hAnsi="Arial" w:cs="Arial"/>
          <w:sz w:val="24"/>
          <w:szCs w:val="24"/>
        </w:rPr>
        <w:t xml:space="preserve"> case</w:t>
      </w:r>
      <w:r w:rsidRPr="00C116FE">
        <w:rPr>
          <w:rFonts w:ascii="Arial" w:hAnsi="Arial" w:cs="Arial"/>
          <w:sz w:val="24"/>
          <w:szCs w:val="24"/>
        </w:rPr>
        <w:t>work. This will include monitoring the working methods of the project and trouble-shooting problems.</w:t>
      </w:r>
    </w:p>
    <w:p w14:paraId="1CEB21EC" w14:textId="624EAAEF" w:rsidR="003E04B7" w:rsidRPr="00C116FE" w:rsidRDefault="003E04B7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 xml:space="preserve">Initiating, developing and maintaining positive relationships with partner firms, </w:t>
      </w:r>
      <w:r w:rsidR="00DD1841" w:rsidRPr="00C116FE">
        <w:rPr>
          <w:rFonts w:ascii="Arial" w:hAnsi="Arial" w:cs="Arial"/>
          <w:sz w:val="24"/>
          <w:szCs w:val="24"/>
        </w:rPr>
        <w:t xml:space="preserve">and </w:t>
      </w:r>
      <w:r w:rsidRPr="00C116FE">
        <w:rPr>
          <w:rFonts w:ascii="Arial" w:hAnsi="Arial" w:cs="Arial"/>
          <w:sz w:val="24"/>
          <w:szCs w:val="24"/>
        </w:rPr>
        <w:t>referral organisations.</w:t>
      </w:r>
    </w:p>
    <w:p w14:paraId="0C7A97B8" w14:textId="77777777" w:rsidR="003E04B7" w:rsidRPr="00C116FE" w:rsidRDefault="003E04B7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Regular feedback to pro bono coordinators on progress, including visits to partner firms to meet coordinators and volunteers.</w:t>
      </w:r>
    </w:p>
    <w:p w14:paraId="6FE01367" w14:textId="79F8B619" w:rsidR="0082012E" w:rsidRPr="00C116FE" w:rsidRDefault="0082012E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Ongoing monitoring and evaluation of the project, including outcomes and impact for clients, and reporting to National Co-ordinator and the partner firms</w:t>
      </w:r>
      <w:r w:rsidR="00070C33" w:rsidRPr="00C116FE">
        <w:rPr>
          <w:rFonts w:ascii="Arial" w:hAnsi="Arial" w:cs="Arial"/>
          <w:sz w:val="24"/>
          <w:szCs w:val="24"/>
        </w:rPr>
        <w:t xml:space="preserve"> and corporations</w:t>
      </w:r>
      <w:r w:rsidRPr="00C116FE">
        <w:rPr>
          <w:rFonts w:ascii="Arial" w:hAnsi="Arial" w:cs="Arial"/>
          <w:sz w:val="24"/>
          <w:szCs w:val="24"/>
        </w:rPr>
        <w:t>.</w:t>
      </w:r>
    </w:p>
    <w:p w14:paraId="7245044C" w14:textId="77777777" w:rsidR="007976DA" w:rsidRPr="00C116FE" w:rsidRDefault="007976DA" w:rsidP="00D074FB">
      <w:pPr>
        <w:pStyle w:val="ListParagraph"/>
        <w:tabs>
          <w:tab w:val="left" w:pos="175"/>
        </w:tabs>
        <w:spacing w:after="0" w:line="240" w:lineRule="auto"/>
        <w:ind w:left="222"/>
        <w:jc w:val="both"/>
        <w:rPr>
          <w:rFonts w:ascii="Arial" w:hAnsi="Arial" w:cs="Arial"/>
          <w:sz w:val="24"/>
          <w:szCs w:val="24"/>
        </w:rPr>
      </w:pPr>
    </w:p>
    <w:p w14:paraId="70A5B44D" w14:textId="77777777" w:rsidR="003E04B7" w:rsidRPr="00C116FE" w:rsidRDefault="003E04B7" w:rsidP="00D074FB">
      <w:pPr>
        <w:pStyle w:val="ListParagraph"/>
        <w:tabs>
          <w:tab w:val="left" w:pos="175"/>
        </w:tabs>
        <w:spacing w:after="0" w:line="24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C116FE">
        <w:rPr>
          <w:rFonts w:ascii="Arial" w:hAnsi="Arial" w:cs="Arial"/>
          <w:b/>
          <w:i/>
          <w:sz w:val="24"/>
          <w:szCs w:val="24"/>
        </w:rPr>
        <w:t>Delivering Strategic Change</w:t>
      </w:r>
    </w:p>
    <w:p w14:paraId="4EA55DBA" w14:textId="77777777" w:rsidR="0085643C" w:rsidRPr="00C116FE" w:rsidRDefault="0085643C" w:rsidP="00D074FB">
      <w:pPr>
        <w:pStyle w:val="ListParagraph"/>
        <w:tabs>
          <w:tab w:val="left" w:pos="175"/>
        </w:tabs>
        <w:spacing w:after="0" w:line="24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14:paraId="2002F286" w14:textId="7C066487" w:rsidR="003E04B7" w:rsidRPr="00C116FE" w:rsidRDefault="003E04B7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Seeking out opportunities for strategic litigation on issues of children and young people's rights</w:t>
      </w:r>
      <w:r w:rsidR="00855E43" w:rsidRPr="00C116FE">
        <w:rPr>
          <w:rFonts w:ascii="Arial" w:hAnsi="Arial" w:cs="Arial"/>
        </w:rPr>
        <w:t xml:space="preserve"> </w:t>
      </w:r>
      <w:r w:rsidR="00C81454" w:rsidRPr="00C116FE">
        <w:rPr>
          <w:rFonts w:ascii="Arial" w:hAnsi="Arial" w:cs="Arial"/>
          <w:sz w:val="24"/>
          <w:szCs w:val="24"/>
        </w:rPr>
        <w:t xml:space="preserve">which </w:t>
      </w:r>
      <w:r w:rsidR="00855E43" w:rsidRPr="00C116FE">
        <w:rPr>
          <w:rFonts w:ascii="Arial" w:hAnsi="Arial" w:cs="Arial"/>
          <w:sz w:val="24"/>
          <w:szCs w:val="24"/>
        </w:rPr>
        <w:t xml:space="preserve">will feed into </w:t>
      </w:r>
      <w:r w:rsidR="00C116FE" w:rsidRPr="00C116FE">
        <w:rPr>
          <w:rFonts w:ascii="Arial" w:hAnsi="Arial" w:cs="Arial"/>
          <w:sz w:val="24"/>
          <w:szCs w:val="24"/>
        </w:rPr>
        <w:t>MiCLU</w:t>
      </w:r>
      <w:r w:rsidR="00855E43" w:rsidRPr="00C116FE">
        <w:rPr>
          <w:rFonts w:ascii="Arial" w:hAnsi="Arial" w:cs="Arial"/>
          <w:sz w:val="24"/>
          <w:szCs w:val="24"/>
        </w:rPr>
        <w:t>'s and KIND UK’s wider policy advocacy</w:t>
      </w:r>
      <w:r w:rsidR="00726FD6">
        <w:rPr>
          <w:rFonts w:ascii="Arial" w:hAnsi="Arial" w:cs="Arial"/>
          <w:sz w:val="24"/>
          <w:szCs w:val="24"/>
        </w:rPr>
        <w:t xml:space="preserve"> work</w:t>
      </w:r>
      <w:r w:rsidR="00855E43" w:rsidRPr="00C116FE">
        <w:rPr>
          <w:rFonts w:ascii="Arial" w:hAnsi="Arial" w:cs="Arial"/>
          <w:sz w:val="24"/>
          <w:szCs w:val="24"/>
        </w:rPr>
        <w:t xml:space="preserve"> to effect positive change and promote the rights of children and young people.</w:t>
      </w:r>
    </w:p>
    <w:p w14:paraId="2C1EBE98" w14:textId="4E5B472C" w:rsidR="003E04B7" w:rsidRPr="00C116FE" w:rsidRDefault="003E04B7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 xml:space="preserve">Raising awareness of the project and building referral streams, including </w:t>
      </w:r>
      <w:r w:rsidR="00DD1841" w:rsidRPr="00C116FE">
        <w:rPr>
          <w:rFonts w:ascii="Arial" w:hAnsi="Arial" w:cs="Arial"/>
          <w:sz w:val="24"/>
          <w:szCs w:val="24"/>
        </w:rPr>
        <w:t xml:space="preserve">involvement in </w:t>
      </w:r>
      <w:r w:rsidRPr="00C116FE">
        <w:rPr>
          <w:rFonts w:ascii="Arial" w:hAnsi="Arial" w:cs="Arial"/>
          <w:sz w:val="24"/>
          <w:szCs w:val="24"/>
        </w:rPr>
        <w:t>publicity events and workshops to promote the project.</w:t>
      </w:r>
    </w:p>
    <w:p w14:paraId="58F6A021" w14:textId="11F6FC85" w:rsidR="003E04B7" w:rsidRDefault="003E04B7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Support</w:t>
      </w:r>
      <w:r w:rsidR="00051D79">
        <w:rPr>
          <w:rFonts w:ascii="Arial" w:hAnsi="Arial" w:cs="Arial"/>
          <w:sz w:val="24"/>
          <w:szCs w:val="24"/>
        </w:rPr>
        <w:t>ing</w:t>
      </w:r>
      <w:r w:rsidRPr="00C116FE">
        <w:rPr>
          <w:rFonts w:ascii="Arial" w:hAnsi="Arial" w:cs="Arial"/>
          <w:sz w:val="24"/>
          <w:szCs w:val="24"/>
        </w:rPr>
        <w:t xml:space="preserve"> the development of a pro bono culture within partner law firms. </w:t>
      </w:r>
    </w:p>
    <w:p w14:paraId="323A8E1C" w14:textId="57FA398D" w:rsidR="00C116FE" w:rsidRPr="00C116FE" w:rsidRDefault="00C116FE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</w:t>
      </w:r>
      <w:r w:rsidR="00051D79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partner firms to use their own advocacy opportunities to advocate for positive change for migrant children</w:t>
      </w:r>
      <w:r w:rsidR="00643CA9">
        <w:rPr>
          <w:rFonts w:ascii="Arial" w:hAnsi="Arial" w:cs="Arial"/>
          <w:sz w:val="24"/>
          <w:szCs w:val="24"/>
        </w:rPr>
        <w:t>.</w:t>
      </w:r>
    </w:p>
    <w:p w14:paraId="79E77AA0" w14:textId="77777777" w:rsidR="001C57A4" w:rsidRPr="00C116FE" w:rsidRDefault="001C57A4" w:rsidP="001C57A4">
      <w:pPr>
        <w:pStyle w:val="ListParagraph"/>
        <w:tabs>
          <w:tab w:val="left" w:pos="175"/>
        </w:tabs>
        <w:spacing w:after="0" w:line="240" w:lineRule="auto"/>
        <w:ind w:left="175"/>
        <w:jc w:val="both"/>
        <w:rPr>
          <w:rFonts w:ascii="Arial" w:hAnsi="Arial" w:cs="Arial"/>
          <w:sz w:val="24"/>
          <w:szCs w:val="24"/>
        </w:rPr>
      </w:pPr>
    </w:p>
    <w:p w14:paraId="645D809B" w14:textId="482063D6" w:rsidR="003E04B7" w:rsidRPr="00C116FE" w:rsidRDefault="00070C33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16FE">
        <w:rPr>
          <w:rFonts w:ascii="Arial" w:hAnsi="Arial" w:cs="Arial"/>
          <w:b/>
          <w:i/>
          <w:sz w:val="24"/>
          <w:szCs w:val="24"/>
        </w:rPr>
        <w:t>Promoting K</w:t>
      </w:r>
      <w:r w:rsidR="00BD316C" w:rsidRPr="00C116FE">
        <w:rPr>
          <w:rFonts w:ascii="Arial" w:hAnsi="Arial" w:cs="Arial"/>
          <w:b/>
          <w:i/>
          <w:sz w:val="24"/>
          <w:szCs w:val="24"/>
        </w:rPr>
        <w:t>ids in Need of Defense UK</w:t>
      </w:r>
      <w:r w:rsidRPr="00C116FE">
        <w:rPr>
          <w:rFonts w:ascii="Arial" w:hAnsi="Arial" w:cs="Arial"/>
          <w:b/>
          <w:i/>
          <w:sz w:val="24"/>
          <w:szCs w:val="24"/>
        </w:rPr>
        <w:t xml:space="preserve"> in collaboration with the Law Centre</w:t>
      </w:r>
      <w:r w:rsidR="00BD316C" w:rsidRPr="00C116FE">
        <w:rPr>
          <w:rFonts w:ascii="Arial" w:hAnsi="Arial" w:cs="Arial"/>
          <w:b/>
          <w:i/>
          <w:sz w:val="24"/>
          <w:szCs w:val="24"/>
        </w:rPr>
        <w:t>s</w:t>
      </w:r>
    </w:p>
    <w:p w14:paraId="39097B11" w14:textId="77777777" w:rsidR="0085643C" w:rsidRPr="00C116FE" w:rsidRDefault="0085643C" w:rsidP="00D074FB">
      <w:pPr>
        <w:tabs>
          <w:tab w:val="left" w:pos="175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21BA681" w14:textId="40584FA0" w:rsidR="003E04B7" w:rsidRPr="00C116FE" w:rsidRDefault="0082012E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Proactively contributing to</w:t>
      </w:r>
      <w:r w:rsidR="003E04B7" w:rsidRPr="00C116FE">
        <w:rPr>
          <w:rFonts w:ascii="Arial" w:hAnsi="Arial" w:cs="Arial"/>
          <w:sz w:val="24"/>
          <w:szCs w:val="24"/>
        </w:rPr>
        <w:t xml:space="preserve"> policy and research work through observations made and cases seen through the </w:t>
      </w:r>
      <w:r w:rsidR="007976DA" w:rsidRPr="00C116FE">
        <w:rPr>
          <w:rFonts w:ascii="Arial" w:hAnsi="Arial" w:cs="Arial"/>
          <w:sz w:val="24"/>
          <w:szCs w:val="24"/>
        </w:rPr>
        <w:t>project and its working methods</w:t>
      </w:r>
      <w:r w:rsidR="001C57A4" w:rsidRPr="00C116FE">
        <w:rPr>
          <w:rFonts w:ascii="Arial" w:hAnsi="Arial" w:cs="Arial"/>
          <w:sz w:val="24"/>
          <w:szCs w:val="24"/>
        </w:rPr>
        <w:t>.</w:t>
      </w:r>
    </w:p>
    <w:p w14:paraId="39A1BB1A" w14:textId="6A91BFB6" w:rsidR="007976DA" w:rsidRPr="00C116FE" w:rsidRDefault="00BD316C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Attending regular meetings with other supervis</w:t>
      </w:r>
      <w:r w:rsidR="001C57A4" w:rsidRPr="00C116FE">
        <w:rPr>
          <w:rFonts w:ascii="Arial" w:hAnsi="Arial" w:cs="Arial"/>
          <w:sz w:val="24"/>
          <w:szCs w:val="24"/>
        </w:rPr>
        <w:t>ing solicitors/lawyers and the N</w:t>
      </w:r>
      <w:r w:rsidRPr="00C116FE">
        <w:rPr>
          <w:rFonts w:ascii="Arial" w:hAnsi="Arial" w:cs="Arial"/>
          <w:sz w:val="24"/>
          <w:szCs w:val="24"/>
        </w:rPr>
        <w:t>ational co-ordinators</w:t>
      </w:r>
      <w:r w:rsidR="001C57A4" w:rsidRPr="00C116FE">
        <w:rPr>
          <w:rFonts w:ascii="Arial" w:hAnsi="Arial" w:cs="Arial"/>
          <w:sz w:val="24"/>
          <w:szCs w:val="24"/>
        </w:rPr>
        <w:t>.</w:t>
      </w:r>
    </w:p>
    <w:p w14:paraId="668818DA" w14:textId="7474A605" w:rsidR="00BD316C" w:rsidRPr="00C116FE" w:rsidRDefault="00BD316C" w:rsidP="00D074FB">
      <w:pPr>
        <w:pStyle w:val="ListParagraph"/>
        <w:numPr>
          <w:ilvl w:val="0"/>
          <w:numId w:val="10"/>
        </w:numPr>
        <w:tabs>
          <w:tab w:val="left" w:pos="175"/>
        </w:tabs>
        <w:spacing w:after="0" w:line="240" w:lineRule="auto"/>
        <w:ind w:left="175" w:hanging="175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Attending quarterly Steering Group meetings</w:t>
      </w:r>
      <w:r w:rsidR="001C57A4" w:rsidRPr="00C116FE">
        <w:rPr>
          <w:rFonts w:ascii="Arial" w:hAnsi="Arial" w:cs="Arial"/>
          <w:sz w:val="24"/>
          <w:szCs w:val="24"/>
        </w:rPr>
        <w:t>.</w:t>
      </w:r>
    </w:p>
    <w:p w14:paraId="3A120627" w14:textId="77777777" w:rsidR="001C57A4" w:rsidRDefault="001C57A4" w:rsidP="00D074FB">
      <w:pPr>
        <w:pStyle w:val="Heading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7B325D2" w14:textId="77777777" w:rsidR="00F91AF1" w:rsidRPr="00E701AF" w:rsidRDefault="00F91AF1" w:rsidP="00DB74B5">
      <w:pPr>
        <w:pStyle w:val="ListParagraph"/>
        <w:rPr>
          <w:rFonts w:ascii="Arial" w:hAnsi="Arial" w:cs="Arial"/>
          <w:sz w:val="24"/>
          <w:szCs w:val="24"/>
        </w:rPr>
      </w:pPr>
    </w:p>
    <w:sectPr w:rsidR="00F91AF1" w:rsidRPr="00E701AF" w:rsidSect="00A857EB"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861"/>
    <w:multiLevelType w:val="hybridMultilevel"/>
    <w:tmpl w:val="90B8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9B1"/>
    <w:multiLevelType w:val="hybridMultilevel"/>
    <w:tmpl w:val="3872F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165C5"/>
    <w:multiLevelType w:val="hybridMultilevel"/>
    <w:tmpl w:val="0F32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274"/>
    <w:multiLevelType w:val="hybridMultilevel"/>
    <w:tmpl w:val="6D642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A3F"/>
    <w:multiLevelType w:val="hybridMultilevel"/>
    <w:tmpl w:val="05583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4C03E1"/>
    <w:multiLevelType w:val="hybridMultilevel"/>
    <w:tmpl w:val="16CC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D4781"/>
    <w:multiLevelType w:val="hybridMultilevel"/>
    <w:tmpl w:val="B18CFC22"/>
    <w:lvl w:ilvl="0" w:tplc="24E6DCF6">
      <w:start w:val="1"/>
      <w:numFmt w:val="decimal"/>
      <w:lvlText w:val="%1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11F92"/>
    <w:multiLevelType w:val="hybridMultilevel"/>
    <w:tmpl w:val="6D642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57C8D"/>
    <w:multiLevelType w:val="hybridMultilevel"/>
    <w:tmpl w:val="7CB0F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5896"/>
    <w:multiLevelType w:val="hybridMultilevel"/>
    <w:tmpl w:val="B670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45954"/>
    <w:multiLevelType w:val="hybridMultilevel"/>
    <w:tmpl w:val="841EF6D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0863EF"/>
    <w:multiLevelType w:val="hybridMultilevel"/>
    <w:tmpl w:val="26563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51B74"/>
    <w:multiLevelType w:val="hybridMultilevel"/>
    <w:tmpl w:val="6ADC18BE"/>
    <w:lvl w:ilvl="0" w:tplc="24E6DCF6">
      <w:start w:val="1"/>
      <w:numFmt w:val="decimal"/>
      <w:lvlText w:val="%1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9714E"/>
    <w:multiLevelType w:val="hybridMultilevel"/>
    <w:tmpl w:val="24EA7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620B"/>
    <w:multiLevelType w:val="hybridMultilevel"/>
    <w:tmpl w:val="A2762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B75C3"/>
    <w:multiLevelType w:val="hybridMultilevel"/>
    <w:tmpl w:val="3500B76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6886">
    <w:abstractNumId w:val="13"/>
  </w:num>
  <w:num w:numId="2" w16cid:durableId="1383753065">
    <w:abstractNumId w:val="8"/>
  </w:num>
  <w:num w:numId="3" w16cid:durableId="1801419866">
    <w:abstractNumId w:val="14"/>
  </w:num>
  <w:num w:numId="4" w16cid:durableId="1153908036">
    <w:abstractNumId w:val="6"/>
  </w:num>
  <w:num w:numId="5" w16cid:durableId="874971278">
    <w:abstractNumId w:val="12"/>
  </w:num>
  <w:num w:numId="6" w16cid:durableId="344594708">
    <w:abstractNumId w:val="4"/>
  </w:num>
  <w:num w:numId="7" w16cid:durableId="445197136">
    <w:abstractNumId w:val="1"/>
  </w:num>
  <w:num w:numId="8" w16cid:durableId="2015843058">
    <w:abstractNumId w:val="2"/>
  </w:num>
  <w:num w:numId="9" w16cid:durableId="1374235418">
    <w:abstractNumId w:val="11"/>
  </w:num>
  <w:num w:numId="10" w16cid:durableId="850336996">
    <w:abstractNumId w:val="15"/>
  </w:num>
  <w:num w:numId="11" w16cid:durableId="648169501">
    <w:abstractNumId w:val="10"/>
  </w:num>
  <w:num w:numId="12" w16cid:durableId="1807772814">
    <w:abstractNumId w:val="7"/>
  </w:num>
  <w:num w:numId="13" w16cid:durableId="2118912936">
    <w:abstractNumId w:val="9"/>
  </w:num>
  <w:num w:numId="14" w16cid:durableId="1776167839">
    <w:abstractNumId w:val="3"/>
  </w:num>
  <w:num w:numId="15" w16cid:durableId="1112480205">
    <w:abstractNumId w:val="0"/>
  </w:num>
  <w:num w:numId="16" w16cid:durableId="1149710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3"/>
    <w:rsid w:val="00012BBC"/>
    <w:rsid w:val="000251B4"/>
    <w:rsid w:val="00043D95"/>
    <w:rsid w:val="00051D79"/>
    <w:rsid w:val="00056396"/>
    <w:rsid w:val="000657BA"/>
    <w:rsid w:val="00070C33"/>
    <w:rsid w:val="0009502D"/>
    <w:rsid w:val="000A7118"/>
    <w:rsid w:val="000B2ADA"/>
    <w:rsid w:val="000B6993"/>
    <w:rsid w:val="0010642D"/>
    <w:rsid w:val="00111371"/>
    <w:rsid w:val="00131DE0"/>
    <w:rsid w:val="00132031"/>
    <w:rsid w:val="001508A8"/>
    <w:rsid w:val="001A3528"/>
    <w:rsid w:val="001B1EDE"/>
    <w:rsid w:val="001C57A4"/>
    <w:rsid w:val="001C6C09"/>
    <w:rsid w:val="001C7873"/>
    <w:rsid w:val="001E3C7D"/>
    <w:rsid w:val="00215EE1"/>
    <w:rsid w:val="00221F03"/>
    <w:rsid w:val="00225736"/>
    <w:rsid w:val="002262A7"/>
    <w:rsid w:val="00235025"/>
    <w:rsid w:val="00274085"/>
    <w:rsid w:val="00286EBB"/>
    <w:rsid w:val="00300853"/>
    <w:rsid w:val="00341B15"/>
    <w:rsid w:val="003703B5"/>
    <w:rsid w:val="00373F01"/>
    <w:rsid w:val="003A5D5A"/>
    <w:rsid w:val="003C1657"/>
    <w:rsid w:val="003D1EC1"/>
    <w:rsid w:val="003E04B7"/>
    <w:rsid w:val="003F4F75"/>
    <w:rsid w:val="00421FF1"/>
    <w:rsid w:val="00427AF0"/>
    <w:rsid w:val="00430FED"/>
    <w:rsid w:val="0046566D"/>
    <w:rsid w:val="00467D58"/>
    <w:rsid w:val="004D0EBA"/>
    <w:rsid w:val="004E37FA"/>
    <w:rsid w:val="00502940"/>
    <w:rsid w:val="00526A16"/>
    <w:rsid w:val="00552BCF"/>
    <w:rsid w:val="0057067C"/>
    <w:rsid w:val="00571B2F"/>
    <w:rsid w:val="005843B3"/>
    <w:rsid w:val="0059445D"/>
    <w:rsid w:val="005D0D52"/>
    <w:rsid w:val="005D641B"/>
    <w:rsid w:val="0061614E"/>
    <w:rsid w:val="00617797"/>
    <w:rsid w:val="0063770E"/>
    <w:rsid w:val="00643CA9"/>
    <w:rsid w:val="00647F74"/>
    <w:rsid w:val="0067362D"/>
    <w:rsid w:val="0069088C"/>
    <w:rsid w:val="006967CD"/>
    <w:rsid w:val="006A1CAA"/>
    <w:rsid w:val="00726FD6"/>
    <w:rsid w:val="007352A9"/>
    <w:rsid w:val="00765D9C"/>
    <w:rsid w:val="007976DA"/>
    <w:rsid w:val="007A68B9"/>
    <w:rsid w:val="007D3302"/>
    <w:rsid w:val="007F0311"/>
    <w:rsid w:val="008049B9"/>
    <w:rsid w:val="0082012E"/>
    <w:rsid w:val="0082416F"/>
    <w:rsid w:val="00846EDE"/>
    <w:rsid w:val="0085237C"/>
    <w:rsid w:val="00855E43"/>
    <w:rsid w:val="0085643C"/>
    <w:rsid w:val="00885682"/>
    <w:rsid w:val="0089380E"/>
    <w:rsid w:val="008A5414"/>
    <w:rsid w:val="008B2A19"/>
    <w:rsid w:val="008B7073"/>
    <w:rsid w:val="008C45E1"/>
    <w:rsid w:val="008E2F13"/>
    <w:rsid w:val="008F6125"/>
    <w:rsid w:val="00915944"/>
    <w:rsid w:val="0093308B"/>
    <w:rsid w:val="009350E2"/>
    <w:rsid w:val="009747A8"/>
    <w:rsid w:val="00984851"/>
    <w:rsid w:val="00985438"/>
    <w:rsid w:val="00992318"/>
    <w:rsid w:val="009D1562"/>
    <w:rsid w:val="009D2EBA"/>
    <w:rsid w:val="009D3787"/>
    <w:rsid w:val="009E3757"/>
    <w:rsid w:val="00A04228"/>
    <w:rsid w:val="00A357E5"/>
    <w:rsid w:val="00A41EA3"/>
    <w:rsid w:val="00A56A7D"/>
    <w:rsid w:val="00A77C2E"/>
    <w:rsid w:val="00A854B8"/>
    <w:rsid w:val="00A857EB"/>
    <w:rsid w:val="00A97545"/>
    <w:rsid w:val="00AA2CDC"/>
    <w:rsid w:val="00AB3931"/>
    <w:rsid w:val="00AC0848"/>
    <w:rsid w:val="00AE048A"/>
    <w:rsid w:val="00AE4E20"/>
    <w:rsid w:val="00B13B19"/>
    <w:rsid w:val="00B154DE"/>
    <w:rsid w:val="00B23BFE"/>
    <w:rsid w:val="00B40E2C"/>
    <w:rsid w:val="00B65D59"/>
    <w:rsid w:val="00B73856"/>
    <w:rsid w:val="00B7524E"/>
    <w:rsid w:val="00B904FD"/>
    <w:rsid w:val="00BA2255"/>
    <w:rsid w:val="00BB184F"/>
    <w:rsid w:val="00BB38A8"/>
    <w:rsid w:val="00BC1F87"/>
    <w:rsid w:val="00BD316C"/>
    <w:rsid w:val="00BF0A34"/>
    <w:rsid w:val="00C116FE"/>
    <w:rsid w:val="00C13D63"/>
    <w:rsid w:val="00C321FF"/>
    <w:rsid w:val="00C41BE6"/>
    <w:rsid w:val="00C76560"/>
    <w:rsid w:val="00C81454"/>
    <w:rsid w:val="00C90E84"/>
    <w:rsid w:val="00CC655A"/>
    <w:rsid w:val="00CE1A27"/>
    <w:rsid w:val="00CF58F9"/>
    <w:rsid w:val="00D05330"/>
    <w:rsid w:val="00D074FB"/>
    <w:rsid w:val="00D41256"/>
    <w:rsid w:val="00D46522"/>
    <w:rsid w:val="00D550D8"/>
    <w:rsid w:val="00DA103D"/>
    <w:rsid w:val="00DB74B5"/>
    <w:rsid w:val="00DC2DD8"/>
    <w:rsid w:val="00DD1841"/>
    <w:rsid w:val="00DD2D45"/>
    <w:rsid w:val="00DE7490"/>
    <w:rsid w:val="00E41607"/>
    <w:rsid w:val="00E51DCE"/>
    <w:rsid w:val="00E701AF"/>
    <w:rsid w:val="00E7689D"/>
    <w:rsid w:val="00E91456"/>
    <w:rsid w:val="00E91B87"/>
    <w:rsid w:val="00E941BD"/>
    <w:rsid w:val="00ED3081"/>
    <w:rsid w:val="00ED76A4"/>
    <w:rsid w:val="00F2037A"/>
    <w:rsid w:val="00F4524D"/>
    <w:rsid w:val="00F56166"/>
    <w:rsid w:val="00F60036"/>
    <w:rsid w:val="00F81B10"/>
    <w:rsid w:val="00F91AF1"/>
    <w:rsid w:val="00F92AED"/>
    <w:rsid w:val="00FB0313"/>
    <w:rsid w:val="00FE5783"/>
    <w:rsid w:val="00FF27B8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7887"/>
  <w15:docId w15:val="{F7608808-DFE5-4EA1-9602-008BC271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294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50294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E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5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7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3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0294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02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70C33"/>
    <w:pPr>
      <w:spacing w:after="0" w:line="240" w:lineRule="auto"/>
    </w:pPr>
  </w:style>
  <w:style w:type="paragraph" w:customStyle="1" w:styleId="Default">
    <w:name w:val="Default"/>
    <w:rsid w:val="00552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70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8D203216904CB7E578310683F741" ma:contentTypeVersion="17" ma:contentTypeDescription="Create a new document." ma:contentTypeScope="" ma:versionID="27ccf9d59f55b028a1c63f366f6c44b9">
  <xsd:schema xmlns:xsd="http://www.w3.org/2001/XMLSchema" xmlns:xs="http://www.w3.org/2001/XMLSchema" xmlns:p="http://schemas.microsoft.com/office/2006/metadata/properties" xmlns:ns2="c6a9dd64-c751-48f3-9ff4-925e4588a211" xmlns:ns3="ce5569da-813f-4394-8063-ff90456c5986" targetNamespace="http://schemas.microsoft.com/office/2006/metadata/properties" ma:root="true" ma:fieldsID="b68105eeaf3abef094278df83c7ea9ad" ns2:_="" ns3:_="">
    <xsd:import namespace="c6a9dd64-c751-48f3-9ff4-925e4588a211"/>
    <xsd:import namespace="ce5569da-813f-4394-8063-ff90456c5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9dd64-c751-48f3-9ff4-925e4588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9da-813f-4394-8063-ff90456c5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bc8865-84cb-4034-abae-140d3fd9baf1}" ma:internalName="TaxCatchAll" ma:showField="CatchAllData" ma:web="ce5569da-813f-4394-8063-ff90456c5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569da-813f-4394-8063-ff90456c5986" xsi:nil="true"/>
    <lcf76f155ced4ddcb4097134ff3c332f xmlns="c6a9dd64-c751-48f3-9ff4-925e4588a21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9C352-4C16-4507-853D-725A8E962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9dd64-c751-48f3-9ff4-925e4588a211"/>
    <ds:schemaRef ds:uri="ce5569da-813f-4394-8063-ff90456c5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57665-3168-4403-BE40-32E20515A7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7E050-4014-4FDE-AA25-E48436F7D2AC}">
  <ds:schemaRefs>
    <ds:schemaRef ds:uri="http://schemas.microsoft.com/office/2006/metadata/properties"/>
    <ds:schemaRef ds:uri="http://schemas.microsoft.com/office/infopath/2007/PartnerControls"/>
    <ds:schemaRef ds:uri="ce5569da-813f-4394-8063-ff90456c5986"/>
    <ds:schemaRef ds:uri="c6a9dd64-c751-48f3-9ff4-925e4588a211"/>
  </ds:schemaRefs>
</ds:datastoreItem>
</file>

<file path=customXml/itemProps4.xml><?xml version="1.0" encoding="utf-8"?>
<ds:datastoreItem xmlns:ds="http://schemas.openxmlformats.org/officeDocument/2006/customXml" ds:itemID="{7FFBE8B9-FE12-4A7C-B4E0-A9AFBE3CD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 Hosted Services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Ashton</dc:creator>
  <cp:lastModifiedBy>Deborah Thackray (ILC)</cp:lastModifiedBy>
  <cp:revision>5</cp:revision>
  <dcterms:created xsi:type="dcterms:W3CDTF">2023-09-22T14:21:00Z</dcterms:created>
  <dcterms:modified xsi:type="dcterms:W3CDTF">2023-09-28T15:30:00Z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0x010100339575708E778D42A519A88D952A29B2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