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0776" w14:textId="4723B2CA" w:rsidR="008F728B" w:rsidRDefault="004D2F7E" w:rsidP="007A61A3">
      <w:r>
        <w:t>BLURB</w:t>
      </w:r>
    </w:p>
    <w:p w14:paraId="238FB67E" w14:textId="77777777" w:rsidR="008F728B" w:rsidRDefault="008F728B" w:rsidP="007A61A3"/>
    <w:p w14:paraId="3199AD30" w14:textId="08CC65D7" w:rsidR="00C61EF3" w:rsidRDefault="00C61EF3" w:rsidP="007A61A3">
      <w:r>
        <w:t>It is our experience in representing trafficked men and boys from Albania, that the SSHD frequently seeks to refuse asylum, and invites the First Tier Tribunal to dismiss appeals</w:t>
      </w:r>
      <w:r w:rsidR="00526000">
        <w:t>,</w:t>
      </w:r>
      <w:r>
        <w:t xml:space="preserve"> on the basis that </w:t>
      </w:r>
      <w:r w:rsidR="00526000">
        <w:t>trafficked men from Albania do not constitute a ‘Particular Social Group’ (‘PSG’). The SSHD argues that as such, a trafficked man from Albania cannot be recognised as a refugee, due to lack of a ‘Convention Reason’ to underpin their asylum claim.</w:t>
      </w:r>
    </w:p>
    <w:p w14:paraId="08095141" w14:textId="77777777" w:rsidR="00526000" w:rsidRDefault="00526000" w:rsidP="007A61A3"/>
    <w:p w14:paraId="16ED9E16" w14:textId="172B98C5" w:rsidR="008453C1" w:rsidRDefault="00526000" w:rsidP="007A61A3">
      <w:r>
        <w:t xml:space="preserve">The issue of what constitutes a PSG has always been a complex issue of interpretation in refugee law.  From 22 June 2022 the UK adopted a </w:t>
      </w:r>
      <w:r w:rsidR="00554A51">
        <w:t xml:space="preserve">more restrictive definition of ‘Particular Social Group’ (PSG) </w:t>
      </w:r>
      <w:r>
        <w:t xml:space="preserve">than had hitherto been the case, </w:t>
      </w:r>
      <w:r w:rsidR="00554A51">
        <w:t xml:space="preserve">when </w:t>
      </w:r>
      <w:r w:rsidR="00D63212">
        <w:t xml:space="preserve">Section 33 of the Nationality and Borders Act 2022 modified </w:t>
      </w:r>
      <w:r w:rsidR="004D2F7E">
        <w:t>how</w:t>
      </w:r>
      <w:r w:rsidR="0022438D">
        <w:t xml:space="preserve"> </w:t>
      </w:r>
      <w:r w:rsidR="00554A51">
        <w:t>it should be defined</w:t>
      </w:r>
      <w:r w:rsidR="00CE38D9">
        <w:t xml:space="preserve"> </w:t>
      </w:r>
      <w:r w:rsidR="00452584">
        <w:t xml:space="preserve">under the UK’s refugee law framework, </w:t>
      </w:r>
      <w:r w:rsidR="00CE38D9">
        <w:t>newly</w:t>
      </w:r>
      <w:r w:rsidR="00D63212">
        <w:t xml:space="preserve"> requiring the </w:t>
      </w:r>
      <w:r w:rsidR="00CE38D9">
        <w:t xml:space="preserve">two conditions contained in the </w:t>
      </w:r>
      <w:r w:rsidR="00CE38D9" w:rsidRPr="004724E8">
        <w:t>definition to</w:t>
      </w:r>
      <w:r w:rsidR="00CE38D9">
        <w:t xml:space="preserve"> be applied conjunctively</w:t>
      </w:r>
      <w:r w:rsidR="007B6582">
        <w:t xml:space="preserve">. </w:t>
      </w:r>
      <w:r w:rsidR="008453C1">
        <w:t>For ease of reference this means that in order to demonstrate that an individual is a member of a PSG, those who claimed asylum after 22 June 2022 must demonstrate that they meet the following requirements set out in s.33 NABA 2022:</w:t>
      </w:r>
    </w:p>
    <w:p w14:paraId="6241FAE3" w14:textId="77777777" w:rsidR="008453C1" w:rsidRPr="008F01F2" w:rsidRDefault="008453C1" w:rsidP="008453C1">
      <w:pPr>
        <w:pStyle w:val="ListParagraph"/>
        <w:ind w:left="1440"/>
        <w:rPr>
          <w:i/>
          <w:iCs/>
        </w:rPr>
      </w:pPr>
      <w:r>
        <w:t>“</w:t>
      </w:r>
      <w:r w:rsidRPr="008F01F2">
        <w:rPr>
          <w:i/>
          <w:iCs/>
        </w:rPr>
        <w:t>(2) A group forms a particular social group for the purposes of Article 1(A)(2) of the Refugee Convention only if it meets both of the following conditions.</w:t>
      </w:r>
    </w:p>
    <w:p w14:paraId="1842BAB9" w14:textId="77777777" w:rsidR="008453C1" w:rsidRPr="008F01F2" w:rsidRDefault="008453C1" w:rsidP="008453C1">
      <w:pPr>
        <w:pStyle w:val="ListParagraph"/>
        <w:ind w:left="1440"/>
        <w:rPr>
          <w:i/>
          <w:iCs/>
        </w:rPr>
      </w:pPr>
    </w:p>
    <w:p w14:paraId="53020008" w14:textId="77777777" w:rsidR="008453C1" w:rsidRPr="008F01F2" w:rsidRDefault="008453C1" w:rsidP="008453C1">
      <w:pPr>
        <w:pStyle w:val="ListParagraph"/>
        <w:ind w:left="1440"/>
        <w:rPr>
          <w:i/>
          <w:iCs/>
        </w:rPr>
      </w:pPr>
      <w:r w:rsidRPr="008F01F2">
        <w:rPr>
          <w:i/>
          <w:iCs/>
        </w:rPr>
        <w:t>(3) The first condition is that members of the group share—</w:t>
      </w:r>
    </w:p>
    <w:p w14:paraId="0EC80EEC" w14:textId="77777777" w:rsidR="008453C1" w:rsidRPr="008F01F2" w:rsidRDefault="008453C1" w:rsidP="008453C1">
      <w:pPr>
        <w:pStyle w:val="ListParagraph"/>
        <w:ind w:left="2160"/>
        <w:rPr>
          <w:i/>
          <w:iCs/>
        </w:rPr>
      </w:pPr>
      <w:r w:rsidRPr="008F01F2">
        <w:rPr>
          <w:i/>
          <w:iCs/>
        </w:rPr>
        <w:t>(a) an innate characteristic,</w:t>
      </w:r>
    </w:p>
    <w:p w14:paraId="2BF1294F" w14:textId="77777777" w:rsidR="008453C1" w:rsidRPr="008F01F2" w:rsidRDefault="008453C1" w:rsidP="008453C1">
      <w:pPr>
        <w:pStyle w:val="ListParagraph"/>
        <w:ind w:left="2160"/>
        <w:rPr>
          <w:i/>
          <w:iCs/>
        </w:rPr>
      </w:pPr>
      <w:r w:rsidRPr="008F01F2">
        <w:rPr>
          <w:i/>
          <w:iCs/>
        </w:rPr>
        <w:t>(b) a common background that cannot be changed, or</w:t>
      </w:r>
    </w:p>
    <w:p w14:paraId="5DCA90AB" w14:textId="77777777" w:rsidR="008453C1" w:rsidRPr="008F01F2" w:rsidRDefault="008453C1" w:rsidP="008453C1">
      <w:pPr>
        <w:pStyle w:val="ListParagraph"/>
        <w:ind w:left="2160"/>
        <w:rPr>
          <w:i/>
          <w:iCs/>
        </w:rPr>
      </w:pPr>
      <w:r w:rsidRPr="008F01F2">
        <w:rPr>
          <w:i/>
          <w:iCs/>
        </w:rPr>
        <w:t>(c) a characteristic or belief that is so fundamental to identity or conscience that a person should not be forced to renounce it.</w:t>
      </w:r>
    </w:p>
    <w:p w14:paraId="3F1CC936" w14:textId="77777777" w:rsidR="008453C1" w:rsidRPr="008F01F2" w:rsidRDefault="008453C1" w:rsidP="008453C1">
      <w:pPr>
        <w:pStyle w:val="ListParagraph"/>
        <w:ind w:left="2160"/>
        <w:rPr>
          <w:i/>
          <w:iCs/>
        </w:rPr>
      </w:pPr>
    </w:p>
    <w:p w14:paraId="223F06EC" w14:textId="4E5FF555" w:rsidR="008453C1" w:rsidRDefault="008453C1" w:rsidP="00C67DE5">
      <w:pPr>
        <w:ind w:left="1440"/>
      </w:pPr>
      <w:r w:rsidRPr="008F01F2">
        <w:rPr>
          <w:i/>
          <w:iCs/>
        </w:rPr>
        <w:t>(4) The second condition is that the group has a distinct identity in the relevant country because it is perceived as being different by the surrounding society.</w:t>
      </w:r>
      <w:r>
        <w:t>”</w:t>
      </w:r>
    </w:p>
    <w:p w14:paraId="3BCB2600" w14:textId="77777777" w:rsidR="008453C1" w:rsidRDefault="008453C1" w:rsidP="007A61A3"/>
    <w:p w14:paraId="66FEB004" w14:textId="0CF10097" w:rsidR="00AA40A2" w:rsidRDefault="008453C1" w:rsidP="007A61A3">
      <w:r>
        <w:t>In the context of Albanian asylum claims t</w:t>
      </w:r>
      <w:r w:rsidR="007B6582">
        <w:t xml:space="preserve">he Home Office </w:t>
      </w:r>
      <w:r w:rsidR="00F51636">
        <w:t xml:space="preserve">has </w:t>
      </w:r>
      <w:r w:rsidR="00C66517">
        <w:t>relied on</w:t>
      </w:r>
      <w:r w:rsidR="00C67D93">
        <w:t xml:space="preserve"> </w:t>
      </w:r>
      <w:r w:rsidR="00EE6B2F">
        <w:t>th</w:t>
      </w:r>
      <w:r w:rsidR="006F24B7">
        <w:t>is</w:t>
      </w:r>
      <w:r w:rsidR="00CE38D9">
        <w:t xml:space="preserve"> amended </w:t>
      </w:r>
      <w:r w:rsidR="00C67D93">
        <w:t xml:space="preserve">definition </w:t>
      </w:r>
      <w:r w:rsidR="007B1524">
        <w:t xml:space="preserve">to </w:t>
      </w:r>
      <w:r w:rsidR="00F157A1">
        <w:t>issue</w:t>
      </w:r>
      <w:r w:rsidR="00C67D93">
        <w:t xml:space="preserve"> policy guidance</w:t>
      </w:r>
      <w:r w:rsidR="00F51636">
        <w:t xml:space="preserve"> </w:t>
      </w:r>
      <w:r w:rsidR="00452584">
        <w:t>asserting</w:t>
      </w:r>
      <w:r w:rsidR="00C67D93">
        <w:t xml:space="preserve"> that male victims of trafficking </w:t>
      </w:r>
      <w:r w:rsidR="00F157A1">
        <w:t>do not constitute</w:t>
      </w:r>
      <w:r w:rsidR="00C67D93">
        <w:t xml:space="preserve"> </w:t>
      </w:r>
      <w:r w:rsidR="00C67D93">
        <w:lastRenderedPageBreak/>
        <w:t xml:space="preserve">a </w:t>
      </w:r>
      <w:r w:rsidR="00547652">
        <w:t>P</w:t>
      </w:r>
      <w:r w:rsidR="00AA40A2">
        <w:t xml:space="preserve">articular </w:t>
      </w:r>
      <w:r w:rsidR="00547652">
        <w:t>S</w:t>
      </w:r>
      <w:r w:rsidR="00AA40A2">
        <w:t xml:space="preserve">ocial </w:t>
      </w:r>
      <w:r w:rsidR="00547652">
        <w:t>G</w:t>
      </w:r>
      <w:r w:rsidR="00AA40A2">
        <w:t xml:space="preserve">roup in Albania, on the </w:t>
      </w:r>
      <w:r w:rsidR="004724E8">
        <w:t>basis</w:t>
      </w:r>
      <w:r w:rsidR="00AA40A2">
        <w:t xml:space="preserve"> that they do not have a distinct identity in Albania</w:t>
      </w:r>
      <w:r w:rsidR="00937089">
        <w:rPr>
          <w:rStyle w:val="FootnoteReference"/>
        </w:rPr>
        <w:footnoteReference w:id="1"/>
      </w:r>
      <w:r w:rsidR="00AA40A2" w:rsidRPr="006F24B7">
        <w:t>.</w:t>
      </w:r>
      <w:r w:rsidR="00833B03" w:rsidRPr="006F24B7">
        <w:t xml:space="preserve"> </w:t>
      </w:r>
    </w:p>
    <w:p w14:paraId="29C602EE" w14:textId="77777777" w:rsidR="00AA40A2" w:rsidRDefault="00AA40A2" w:rsidP="007A61A3"/>
    <w:p w14:paraId="3015D8F3" w14:textId="00FF74B4" w:rsidR="00DF3541" w:rsidRDefault="009977BB" w:rsidP="00F157A1">
      <w:r>
        <w:t>Such</w:t>
      </w:r>
      <w:r w:rsidR="00DC70B6">
        <w:t xml:space="preserve"> guidance would seem to fly in the face of evidence that the Home Office itself has collated and relies on </w:t>
      </w:r>
      <w:r w:rsidR="00DF3541">
        <w:t>in the body of</w:t>
      </w:r>
      <w:r w:rsidR="00DC70B6">
        <w:t xml:space="preserve"> its policy </w:t>
      </w:r>
      <w:r>
        <w:t>and information notes (CPINS)</w:t>
      </w:r>
      <w:r w:rsidR="00E205BA">
        <w:t xml:space="preserve"> and</w:t>
      </w:r>
      <w:r w:rsidR="00DC70B6">
        <w:t xml:space="preserve"> which lawyers </w:t>
      </w:r>
      <w:r w:rsidR="000C2B42">
        <w:t xml:space="preserve">have been </w:t>
      </w:r>
      <w:r w:rsidR="00DC70B6">
        <w:t>successfully us</w:t>
      </w:r>
      <w:r w:rsidR="000C2B42">
        <w:t>ing</w:t>
      </w:r>
      <w:r w:rsidR="00DC70B6">
        <w:t xml:space="preserve"> in submissions</w:t>
      </w:r>
      <w:r w:rsidR="00ED37FC">
        <w:t xml:space="preserve"> in support of male Albanian trafficking victims</w:t>
      </w:r>
      <w:r w:rsidR="00E205BA">
        <w:t xml:space="preserve">, who they have been able to demonstrate do indeed have </w:t>
      </w:r>
      <w:r w:rsidR="003500B3">
        <w:t>a distinct identity</w:t>
      </w:r>
      <w:r>
        <w:t xml:space="preserve"> within Albania</w:t>
      </w:r>
      <w:r w:rsidR="00535BDC">
        <w:rPr>
          <w:rStyle w:val="FootnoteReference"/>
        </w:rPr>
        <w:footnoteReference w:id="2"/>
      </w:r>
      <w:r w:rsidR="003500B3">
        <w:t>.</w:t>
      </w:r>
    </w:p>
    <w:p w14:paraId="726CA414" w14:textId="77777777" w:rsidR="003500B3" w:rsidRDefault="003500B3" w:rsidP="00F157A1"/>
    <w:p w14:paraId="1A233952" w14:textId="30AD95B6" w:rsidR="00F157A1" w:rsidRDefault="003500B3" w:rsidP="00F157A1">
      <w:r>
        <w:t xml:space="preserve">While there </w:t>
      </w:r>
      <w:r w:rsidR="00496F75">
        <w:t xml:space="preserve">are </w:t>
      </w:r>
      <w:r w:rsidR="00820E68">
        <w:t xml:space="preserve">not yet any </w:t>
      </w:r>
      <w:r>
        <w:t xml:space="preserve">reported </w:t>
      </w:r>
      <w:r w:rsidR="00F64DD9">
        <w:t xml:space="preserve">or </w:t>
      </w:r>
      <w:r>
        <w:t>country guidance</w:t>
      </w:r>
      <w:r w:rsidR="00820E68">
        <w:t xml:space="preserve"> </w:t>
      </w:r>
      <w:r w:rsidR="00A54C18" w:rsidRPr="00A54C18">
        <w:t xml:space="preserve">cases </w:t>
      </w:r>
      <w:r w:rsidR="00A54C18">
        <w:t>addressing</w:t>
      </w:r>
      <w:r w:rsidR="00820E68">
        <w:t xml:space="preserve"> this </w:t>
      </w:r>
      <w:r w:rsidR="00A54C18">
        <w:t>issue</w:t>
      </w:r>
      <w:r w:rsidR="00820E68">
        <w:t>,</w:t>
      </w:r>
      <w:r>
        <w:t xml:space="preserve"> </w:t>
      </w:r>
      <w:r w:rsidR="00076EC4">
        <w:t xml:space="preserve">the Upper Tribunal recently </w:t>
      </w:r>
      <w:r w:rsidR="00A54C18">
        <w:t xml:space="preserve">promulgated </w:t>
      </w:r>
      <w:r w:rsidR="00C4715A">
        <w:t xml:space="preserve">a </w:t>
      </w:r>
      <w:r w:rsidR="00820E68">
        <w:t>decision in an asylum appeal</w:t>
      </w:r>
      <w:r w:rsidR="00C4715A">
        <w:t xml:space="preserve"> </w:t>
      </w:r>
      <w:r w:rsidR="009977BB">
        <w:t>where</w:t>
      </w:r>
      <w:r w:rsidR="00C4715A">
        <w:t xml:space="preserve"> it found that there was</w:t>
      </w:r>
      <w:r w:rsidR="00F157A1" w:rsidRPr="001119ED">
        <w:t xml:space="preserve"> plenty of evidence within the</w:t>
      </w:r>
      <w:r w:rsidR="007E0851">
        <w:t xml:space="preserve"> Home Office’s own </w:t>
      </w:r>
      <w:r w:rsidR="00F157A1" w:rsidRPr="001119ED">
        <w:t>CPINs</w:t>
      </w:r>
      <w:r w:rsidR="007E0851">
        <w:t xml:space="preserve"> </w:t>
      </w:r>
      <w:r w:rsidR="00401937">
        <w:t>and</w:t>
      </w:r>
      <w:r w:rsidR="007E0851">
        <w:t xml:space="preserve"> the sources they cite, </w:t>
      </w:r>
      <w:r w:rsidR="00401937">
        <w:t>as well as</w:t>
      </w:r>
      <w:r w:rsidR="007E0851">
        <w:t xml:space="preserve"> </w:t>
      </w:r>
      <w:r w:rsidR="00F157A1" w:rsidRPr="001119ED">
        <w:t xml:space="preserve">the Home Office's Fact-Finding mission and other </w:t>
      </w:r>
      <w:r w:rsidR="00F157A1">
        <w:t>generic</w:t>
      </w:r>
      <w:r w:rsidR="00F157A1" w:rsidRPr="001119ED">
        <w:t xml:space="preserve"> sources</w:t>
      </w:r>
      <w:r w:rsidR="009977BB">
        <w:t>, to support the contention that male victims of trafficking</w:t>
      </w:r>
      <w:r w:rsidR="00DD0EA1">
        <w:t xml:space="preserve"> do have a distinct identity and, as such, constitute a particular social group in Albania</w:t>
      </w:r>
      <w:r w:rsidR="001962E1">
        <w:t xml:space="preserve">: </w:t>
      </w:r>
      <w:r w:rsidR="001962E1">
        <w:rPr>
          <w:i/>
          <w:iCs/>
        </w:rPr>
        <w:t xml:space="preserve">ES </w:t>
      </w:r>
      <w:r w:rsidR="001962E1">
        <w:t>(UI-2025-000360)</w:t>
      </w:r>
      <w:r w:rsidR="00DD0EA1">
        <w:t>.</w:t>
      </w:r>
      <w:r w:rsidR="008453C1">
        <w:t xml:space="preserve"> This is an unreported decision, but in the absence of a reported decision or country guidance on the point, practitioners may find it useful to rely on the findings of the Upper Tribunal in this regard, when preparing Appeal Skeleton Arguments (‘ASA’) or other submissions in support of an appeal to the First Tier Tribunal.</w:t>
      </w:r>
    </w:p>
    <w:p w14:paraId="11791D53" w14:textId="77777777" w:rsidR="008453C1" w:rsidRDefault="008453C1" w:rsidP="00F157A1"/>
    <w:p w14:paraId="7ADA0001" w14:textId="6E0DB1A3" w:rsidR="008453C1" w:rsidRDefault="008453C1" w:rsidP="00F157A1">
      <w:r>
        <w:t xml:space="preserve">In relation to relying on unreported decisions, the Senior President of Tribunal’s </w:t>
      </w:r>
      <w:r w:rsidRPr="008453C1">
        <w:t>Practice Direction of the Immigration and Asylum Chamber of the First-tier Tribunal</w:t>
      </w:r>
      <w:r>
        <w:t xml:space="preserve"> dated 1 November 2024, sets out that:</w:t>
      </w:r>
    </w:p>
    <w:p w14:paraId="2099DE4A" w14:textId="77777777" w:rsidR="008453C1" w:rsidRDefault="008453C1" w:rsidP="00F157A1"/>
    <w:p w14:paraId="12004AE0" w14:textId="77777777" w:rsidR="008453C1" w:rsidRPr="0058239B" w:rsidRDefault="008453C1" w:rsidP="008453C1">
      <w:pPr>
        <w:ind w:left="720"/>
        <w:rPr>
          <w:i/>
          <w:iCs/>
        </w:rPr>
      </w:pPr>
      <w:r w:rsidRPr="0058239B">
        <w:rPr>
          <w:i/>
          <w:iCs/>
        </w:rPr>
        <w:t xml:space="preserve">16.2. A decision or judgment of any court or tribunal which has not been reported may not be cited in proceedings unless:  </w:t>
      </w:r>
    </w:p>
    <w:p w14:paraId="4138A78D" w14:textId="77777777" w:rsidR="008453C1" w:rsidRPr="0058239B" w:rsidRDefault="008453C1" w:rsidP="008453C1">
      <w:pPr>
        <w:ind w:left="720"/>
        <w:rPr>
          <w:i/>
          <w:iCs/>
        </w:rPr>
      </w:pPr>
      <w:r w:rsidRPr="0058239B">
        <w:rPr>
          <w:i/>
          <w:iCs/>
        </w:rPr>
        <w:t xml:space="preserve">(a) the person who is or was the appellant before the Tribunal, or a member of that person’s family, was a party to the proceedings in which the previous decision was issued; or  </w:t>
      </w:r>
    </w:p>
    <w:p w14:paraId="4332C213" w14:textId="7D585819" w:rsidR="008453C1" w:rsidRPr="0058239B" w:rsidRDefault="008453C1" w:rsidP="0058239B">
      <w:pPr>
        <w:ind w:left="720"/>
        <w:rPr>
          <w:i/>
          <w:iCs/>
        </w:rPr>
      </w:pPr>
      <w:r w:rsidRPr="0058239B">
        <w:rPr>
          <w:i/>
          <w:iCs/>
        </w:rPr>
        <w:lastRenderedPageBreak/>
        <w:t xml:space="preserve">(b) the Tribunal gives permission.  </w:t>
      </w:r>
    </w:p>
    <w:p w14:paraId="4709CD5D" w14:textId="77777777" w:rsidR="00DD0EA1" w:rsidRDefault="00DD0EA1" w:rsidP="00484EE3"/>
    <w:p w14:paraId="6298B31E" w14:textId="581B0056" w:rsidR="00DD0EA1" w:rsidRDefault="00DD0EA1" w:rsidP="00484EE3">
      <w:r>
        <w:t xml:space="preserve">We have successfully applied </w:t>
      </w:r>
      <w:r w:rsidR="00015EC0">
        <w:t xml:space="preserve">to the Tribunal </w:t>
      </w:r>
      <w:r>
        <w:t xml:space="preserve">to </w:t>
      </w:r>
      <w:r w:rsidR="00210343">
        <w:t>cite th</w:t>
      </w:r>
      <w:r w:rsidR="003913C3">
        <w:t>e above-mentioned</w:t>
      </w:r>
      <w:r w:rsidR="00210343">
        <w:t xml:space="preserve"> decision</w:t>
      </w:r>
      <w:r w:rsidR="00B33B93">
        <w:t xml:space="preserve"> in ES</w:t>
      </w:r>
      <w:r w:rsidR="00210343">
        <w:t xml:space="preserve"> in </w:t>
      </w:r>
      <w:r w:rsidR="008453C1">
        <w:t>Appeal Skeleton Arguments (‘ASA’)</w:t>
      </w:r>
      <w:r w:rsidR="00210343">
        <w:t xml:space="preserve"> regarding th</w:t>
      </w:r>
      <w:r w:rsidR="00850556">
        <w:t xml:space="preserve">is </w:t>
      </w:r>
      <w:r w:rsidR="00FF7A01">
        <w:t>discrete</w:t>
      </w:r>
      <w:r w:rsidR="00210343">
        <w:t xml:space="preserve"> issue</w:t>
      </w:r>
      <w:r w:rsidR="001D50C8">
        <w:t xml:space="preserve"> and</w:t>
      </w:r>
      <w:r w:rsidR="003913C3">
        <w:t xml:space="preserve"> </w:t>
      </w:r>
      <w:r w:rsidR="00B33B93">
        <w:t>wish</w:t>
      </w:r>
      <w:r w:rsidR="00052331">
        <w:t xml:space="preserve"> to share </w:t>
      </w:r>
      <w:r w:rsidR="0090716C">
        <w:t xml:space="preserve">here </w:t>
      </w:r>
      <w:r w:rsidR="00052331">
        <w:t xml:space="preserve">template submissions for other </w:t>
      </w:r>
      <w:r w:rsidR="00052331">
        <w:t xml:space="preserve">lawyers </w:t>
      </w:r>
      <w:r w:rsidR="00997C54">
        <w:t>who may wish</w:t>
      </w:r>
      <w:r w:rsidR="00052331">
        <w:t xml:space="preserve"> to do the same.</w:t>
      </w:r>
    </w:p>
    <w:p w14:paraId="64F3DEEA" w14:textId="4B4211AD" w:rsidR="00484EE3" w:rsidRDefault="001119ED" w:rsidP="00484EE3">
      <w:r w:rsidRPr="001119ED">
        <w:br/>
      </w:r>
      <w:r w:rsidR="007B1EA7">
        <w:t>The below</w:t>
      </w:r>
      <w:r w:rsidR="00137864">
        <w:t xml:space="preserve"> submissions </w:t>
      </w:r>
      <w:r w:rsidR="0055223B">
        <w:t xml:space="preserve">requesting permission to cite </w:t>
      </w:r>
      <w:r w:rsidR="00137864">
        <w:t>t</w:t>
      </w:r>
      <w:r w:rsidR="0055223B">
        <w:t xml:space="preserve">he </w:t>
      </w:r>
      <w:r w:rsidR="00294A87">
        <w:t xml:space="preserve">decision in ES </w:t>
      </w:r>
      <w:r w:rsidR="00CA47CD">
        <w:t>can</w:t>
      </w:r>
      <w:r w:rsidR="007B1EA7">
        <w:t xml:space="preserve"> be utilised w</w:t>
      </w:r>
      <w:r w:rsidR="00CB3E19">
        <w:t xml:space="preserve">here </w:t>
      </w:r>
      <w:r w:rsidR="00FC068F">
        <w:t>an</w:t>
      </w:r>
      <w:r w:rsidR="00CB3E19">
        <w:t xml:space="preserve"> </w:t>
      </w:r>
      <w:r w:rsidR="00FC068F">
        <w:t>a</w:t>
      </w:r>
      <w:r w:rsidR="00CB3E19">
        <w:t>ppellant’s case is that he is at risk because of his membership of a Particular Social Group (‘PSG’), namely victims of trafficking in Albania, and w</w:t>
      </w:r>
      <w:r w:rsidR="00BC7C56">
        <w:t>here the Home Office contends that</w:t>
      </w:r>
      <w:r w:rsidR="00CA7FF7">
        <w:t xml:space="preserve"> the risk faced by the </w:t>
      </w:r>
      <w:r w:rsidR="00FC068F">
        <w:t>a</w:t>
      </w:r>
      <w:r w:rsidR="00CA7FF7">
        <w:t xml:space="preserve">ppellant on return does not relate to a Convention </w:t>
      </w:r>
      <w:r w:rsidR="00BC7C56">
        <w:t>reason</w:t>
      </w:r>
      <w:r w:rsidR="003307FC">
        <w:t xml:space="preserve"> because male victims of trafficking do not have a distinct identity in Albania,</w:t>
      </w:r>
      <w:r w:rsidR="00BC7C56">
        <w:t xml:space="preserve"> and </w:t>
      </w:r>
      <w:r w:rsidR="003307FC">
        <w:t xml:space="preserve">that </w:t>
      </w:r>
      <w:r w:rsidR="00BC7C56">
        <w:t>on that basis that th</w:t>
      </w:r>
      <w:r w:rsidR="00CA7FF7">
        <w:t xml:space="preserve">e </w:t>
      </w:r>
      <w:r w:rsidR="00FC068F">
        <w:t>a</w:t>
      </w:r>
      <w:r w:rsidR="00CA7FF7">
        <w:t xml:space="preserve">ppellant is </w:t>
      </w:r>
      <w:r w:rsidR="00BC7C56">
        <w:t xml:space="preserve">not </w:t>
      </w:r>
      <w:r w:rsidR="00CA7FF7">
        <w:t>entitled to protection as a refugee</w:t>
      </w:r>
      <w:r w:rsidR="003307FC">
        <w:t>.</w:t>
      </w:r>
    </w:p>
    <w:p w14:paraId="3B6668C3" w14:textId="2CD7ECE4" w:rsidR="00937089" w:rsidRDefault="00937089" w:rsidP="00484EE3"/>
    <w:p w14:paraId="24220523" w14:textId="5E2AE9A1" w:rsidR="00937089" w:rsidRDefault="00937089" w:rsidP="00484EE3">
      <w:r>
        <w:t xml:space="preserve">The below </w:t>
      </w:r>
      <w:r w:rsidR="00B46D6A">
        <w:t xml:space="preserve">template is </w:t>
      </w:r>
      <w:r w:rsidR="00B46D6A">
        <w:t>provided as an example only and</w:t>
      </w:r>
      <w:r w:rsidR="0015572B">
        <w:t xml:space="preserve"> must</w:t>
      </w:r>
      <w:r w:rsidR="008673C5">
        <w:t xml:space="preserve"> be</w:t>
      </w:r>
      <w:r w:rsidR="00B46D6A">
        <w:t xml:space="preserve"> amended/adapted according </w:t>
      </w:r>
      <w:r w:rsidR="008673C5">
        <w:t>to the specifics of any given case</w:t>
      </w:r>
      <w:r w:rsidR="00753D35">
        <w:t>.</w:t>
      </w:r>
      <w:r w:rsidR="00B33B93">
        <w:t xml:space="preserve"> The example below includes highlighted areas in which colleagues are likely to want to insert the specific facts arising from their client’s case. However, when using the resource it is essential that all of the contents are reviewed and adapted to meet the correct circumstances of the relevant appellant.  We are very grateful to </w:t>
      </w:r>
      <w:r w:rsidR="00B33B93" w:rsidRPr="000E2AE5">
        <w:rPr>
          <w:b/>
          <w:bCs/>
        </w:rPr>
        <w:t>Maha Sardar</w:t>
      </w:r>
      <w:r w:rsidR="00B33B93">
        <w:t xml:space="preserve"> of </w:t>
      </w:r>
      <w:r w:rsidR="00B33B93" w:rsidRPr="000E2AE5">
        <w:rPr>
          <w:b/>
          <w:bCs/>
        </w:rPr>
        <w:t>Garden Court Chambers</w:t>
      </w:r>
      <w:r w:rsidR="00B33B93">
        <w:t xml:space="preserve"> for her generosity in sharing the written arguments she has developed on this point for the purpose of creating this resource for colleagues.</w:t>
      </w:r>
      <w:r w:rsidR="00B46D6A">
        <w:t xml:space="preserve"> </w:t>
      </w:r>
    </w:p>
    <w:p w14:paraId="7690F98A" w14:textId="2BF2FBDB" w:rsidR="00525239" w:rsidRDefault="00525239" w:rsidP="00484EE3">
      <w:r>
        <w:t>--------------------------------------------------------------------------------------------------------------------------</w:t>
      </w:r>
    </w:p>
    <w:p w14:paraId="0B622B75" w14:textId="77777777" w:rsidR="00484EE3" w:rsidRDefault="00484EE3" w:rsidP="00484EE3"/>
    <w:p w14:paraId="51FF8359" w14:textId="3D60E4C0" w:rsidR="007D039B" w:rsidRPr="007D039B" w:rsidRDefault="008F01F2" w:rsidP="003307FC">
      <w:pPr>
        <w:pStyle w:val="FootnoteText"/>
        <w:spacing w:line="360" w:lineRule="auto"/>
        <w:rPr>
          <w:sz w:val="24"/>
          <w:szCs w:val="24"/>
        </w:rPr>
      </w:pPr>
      <w:r w:rsidRPr="007D039B">
        <w:rPr>
          <w:sz w:val="24"/>
          <w:szCs w:val="24"/>
        </w:rPr>
        <w:t xml:space="preserve">The Respondent is wrong to conclude that male victims do not belong to a </w:t>
      </w:r>
      <w:r w:rsidR="00CA47CD">
        <w:rPr>
          <w:sz w:val="24"/>
          <w:szCs w:val="24"/>
        </w:rPr>
        <w:t>Particular Social Group (</w:t>
      </w:r>
      <w:r w:rsidRPr="007D039B">
        <w:rPr>
          <w:sz w:val="24"/>
          <w:szCs w:val="24"/>
        </w:rPr>
        <w:t>PSG</w:t>
      </w:r>
      <w:r w:rsidR="00CA47CD">
        <w:rPr>
          <w:sz w:val="24"/>
          <w:szCs w:val="24"/>
        </w:rPr>
        <w:t>)</w:t>
      </w:r>
      <w:r w:rsidR="00D44E83">
        <w:rPr>
          <w:sz w:val="24"/>
          <w:szCs w:val="24"/>
        </w:rPr>
        <w:t xml:space="preserve"> </w:t>
      </w:r>
      <w:r w:rsidR="00075EE6" w:rsidRPr="00075EE6">
        <w:rPr>
          <w:sz w:val="24"/>
          <w:szCs w:val="24"/>
          <w:highlight w:val="yellow"/>
        </w:rPr>
        <w:t>([R</w:t>
      </w:r>
      <w:r w:rsidR="00A44362">
        <w:rPr>
          <w:sz w:val="24"/>
          <w:szCs w:val="24"/>
          <w:highlight w:val="yellow"/>
        </w:rPr>
        <w:t>eference</w:t>
      </w:r>
      <w:r w:rsidR="00D44E83" w:rsidRPr="00075EE6">
        <w:rPr>
          <w:sz w:val="24"/>
          <w:szCs w:val="24"/>
          <w:highlight w:val="yellow"/>
        </w:rPr>
        <w:t xml:space="preserve"> </w:t>
      </w:r>
      <w:r w:rsidR="007D039B" w:rsidRPr="00075EE6">
        <w:rPr>
          <w:sz w:val="24"/>
          <w:szCs w:val="24"/>
          <w:highlight w:val="yellow"/>
        </w:rPr>
        <w:t xml:space="preserve">CPIN </w:t>
      </w:r>
      <w:hyperlink r:id="rId11" w:history="1">
        <w:r w:rsidR="007D039B" w:rsidRPr="00075EE6">
          <w:rPr>
            <w:sz w:val="24"/>
            <w:szCs w:val="24"/>
            <w:highlight w:val="yellow"/>
          </w:rPr>
          <w:t>Albania: Human trafficking</w:t>
        </w:r>
      </w:hyperlink>
      <w:r w:rsidR="007D039B" w:rsidRPr="00075EE6">
        <w:rPr>
          <w:sz w:val="24"/>
          <w:szCs w:val="24"/>
          <w:highlight w:val="yellow"/>
        </w:rPr>
        <w:t xml:space="preserve"> (version 16.0, July 2024) §2.1.3</w:t>
      </w:r>
      <w:r w:rsidR="00075EE6" w:rsidRPr="00075EE6">
        <w:rPr>
          <w:sz w:val="24"/>
          <w:szCs w:val="24"/>
          <w:highlight w:val="yellow"/>
        </w:rPr>
        <w:t xml:space="preserve"> and</w:t>
      </w:r>
      <w:r w:rsidR="00722373">
        <w:rPr>
          <w:sz w:val="24"/>
          <w:szCs w:val="24"/>
          <w:highlight w:val="yellow"/>
        </w:rPr>
        <w:t>/or</w:t>
      </w:r>
      <w:r w:rsidR="00075EE6" w:rsidRPr="00075EE6">
        <w:rPr>
          <w:sz w:val="24"/>
          <w:szCs w:val="24"/>
          <w:highlight w:val="yellow"/>
        </w:rPr>
        <w:t xml:space="preserve"> any relevant part of the HO decision</w:t>
      </w:r>
      <w:r w:rsidR="002D0339">
        <w:rPr>
          <w:sz w:val="24"/>
          <w:szCs w:val="24"/>
          <w:highlight w:val="yellow"/>
        </w:rPr>
        <w:t>/review</w:t>
      </w:r>
      <w:r w:rsidR="00075EE6" w:rsidRPr="00075EE6">
        <w:rPr>
          <w:sz w:val="24"/>
          <w:szCs w:val="24"/>
          <w:highlight w:val="yellow"/>
        </w:rPr>
        <w:t>])</w:t>
      </w:r>
      <w:r w:rsidR="00D44E83">
        <w:rPr>
          <w:sz w:val="24"/>
          <w:szCs w:val="24"/>
        </w:rPr>
        <w:t>.</w:t>
      </w:r>
    </w:p>
    <w:p w14:paraId="0C2622FE" w14:textId="525EBE8E" w:rsidR="00283F2A" w:rsidRDefault="00283F2A" w:rsidP="003307FC"/>
    <w:p w14:paraId="023D52A4" w14:textId="462697AF" w:rsidR="008F01F2" w:rsidRDefault="008F01F2" w:rsidP="008F01F2">
      <w:pPr>
        <w:pStyle w:val="ListParagraph"/>
        <w:numPr>
          <w:ilvl w:val="0"/>
          <w:numId w:val="1"/>
        </w:numPr>
      </w:pPr>
      <w:r>
        <w:t xml:space="preserve">The Appellant’s claim was brought on </w:t>
      </w:r>
      <w:r w:rsidR="00D44E83">
        <w:t>[</w:t>
      </w:r>
      <w:r w:rsidR="00525239">
        <w:rPr>
          <w:highlight w:val="yellow"/>
        </w:rPr>
        <w:t>D</w:t>
      </w:r>
      <w:r w:rsidR="00D44E83" w:rsidRPr="00376462">
        <w:rPr>
          <w:highlight w:val="yellow"/>
        </w:rPr>
        <w:t>ate</w:t>
      </w:r>
      <w:r w:rsidR="00376462" w:rsidRPr="00376462">
        <w:rPr>
          <w:highlight w:val="yellow"/>
        </w:rPr>
        <w:t xml:space="preserve"> </w:t>
      </w:r>
      <w:r w:rsidR="00376462">
        <w:rPr>
          <w:highlight w:val="yellow"/>
        </w:rPr>
        <w:t xml:space="preserve">must be </w:t>
      </w:r>
      <w:r w:rsidR="000E2AE5">
        <w:rPr>
          <w:highlight w:val="yellow"/>
        </w:rPr>
        <w:t xml:space="preserve">after </w:t>
      </w:r>
      <w:r w:rsidR="00376462" w:rsidRPr="00376462">
        <w:rPr>
          <w:highlight w:val="yellow"/>
        </w:rPr>
        <w:t>22 June 2022</w:t>
      </w:r>
      <w:r w:rsidR="00376462">
        <w:t xml:space="preserve"> </w:t>
      </w:r>
      <w:r w:rsidR="00376462" w:rsidRPr="00C2671F">
        <w:rPr>
          <w:highlight w:val="yellow"/>
        </w:rPr>
        <w:t xml:space="preserve">for the </w:t>
      </w:r>
      <w:r w:rsidR="00C2671F" w:rsidRPr="00C2671F">
        <w:rPr>
          <w:highlight w:val="yellow"/>
        </w:rPr>
        <w:t xml:space="preserve">new </w:t>
      </w:r>
      <w:r w:rsidR="00525239">
        <w:rPr>
          <w:highlight w:val="yellow"/>
        </w:rPr>
        <w:t>construction</w:t>
      </w:r>
      <w:r w:rsidR="00C2671F" w:rsidRPr="00C2671F">
        <w:rPr>
          <w:highlight w:val="yellow"/>
        </w:rPr>
        <w:t xml:space="preserve"> of PSG to apply</w:t>
      </w:r>
      <w:r w:rsidR="00D44E83">
        <w:t xml:space="preserve">] </w:t>
      </w:r>
      <w:r w:rsidR="002E0C1E">
        <w:t>and</w:t>
      </w:r>
      <w:r>
        <w:t xml:space="preserve"> is therefore subject to the provisions of the Nationality and Borders Act 2022. Section 33 of the 2022 Act provides:</w:t>
      </w:r>
    </w:p>
    <w:p w14:paraId="15F3BDDC" w14:textId="77777777" w:rsidR="008F01F2" w:rsidRDefault="008F01F2" w:rsidP="008F01F2">
      <w:pPr>
        <w:pStyle w:val="ListParagraph"/>
        <w:ind w:left="680"/>
      </w:pPr>
    </w:p>
    <w:p w14:paraId="5DB248F5" w14:textId="7ECF9C39" w:rsidR="008F01F2" w:rsidRPr="008F01F2" w:rsidRDefault="008F01F2" w:rsidP="008F01F2">
      <w:pPr>
        <w:pStyle w:val="ListParagraph"/>
        <w:ind w:left="1440"/>
        <w:rPr>
          <w:i/>
          <w:iCs/>
        </w:rPr>
      </w:pPr>
      <w:r>
        <w:t>“</w:t>
      </w:r>
      <w:r w:rsidRPr="008F01F2">
        <w:rPr>
          <w:i/>
          <w:iCs/>
        </w:rPr>
        <w:t>(2) A group forms a particular social group for the purposes of Article 1(A)(2) of the Refugee Convention only if it meets both of the following conditions.</w:t>
      </w:r>
    </w:p>
    <w:p w14:paraId="54D4A1A4" w14:textId="77777777" w:rsidR="008F01F2" w:rsidRPr="008F01F2" w:rsidRDefault="008F01F2" w:rsidP="008F01F2">
      <w:pPr>
        <w:pStyle w:val="ListParagraph"/>
        <w:ind w:left="1440"/>
        <w:rPr>
          <w:i/>
          <w:iCs/>
        </w:rPr>
      </w:pPr>
    </w:p>
    <w:p w14:paraId="1BA5C79B" w14:textId="7DA93BED" w:rsidR="008F01F2" w:rsidRPr="008F01F2" w:rsidRDefault="008F01F2" w:rsidP="008F01F2">
      <w:pPr>
        <w:pStyle w:val="ListParagraph"/>
        <w:ind w:left="1440"/>
        <w:rPr>
          <w:i/>
          <w:iCs/>
        </w:rPr>
      </w:pPr>
      <w:r w:rsidRPr="008F01F2">
        <w:rPr>
          <w:i/>
          <w:iCs/>
        </w:rPr>
        <w:t>(3) The first condition is that members of the group share—</w:t>
      </w:r>
    </w:p>
    <w:p w14:paraId="41E74EAA" w14:textId="606CF1CD" w:rsidR="008F01F2" w:rsidRPr="008F01F2" w:rsidRDefault="008F01F2" w:rsidP="008F01F2">
      <w:pPr>
        <w:pStyle w:val="ListParagraph"/>
        <w:ind w:left="2160"/>
        <w:rPr>
          <w:i/>
          <w:iCs/>
        </w:rPr>
      </w:pPr>
      <w:r w:rsidRPr="008F01F2">
        <w:rPr>
          <w:i/>
          <w:iCs/>
        </w:rPr>
        <w:t>(a) an innate characteristic,</w:t>
      </w:r>
    </w:p>
    <w:p w14:paraId="61C1A2ED" w14:textId="4E85254E" w:rsidR="008F01F2" w:rsidRPr="008F01F2" w:rsidRDefault="008F01F2" w:rsidP="008F01F2">
      <w:pPr>
        <w:pStyle w:val="ListParagraph"/>
        <w:ind w:left="2160"/>
        <w:rPr>
          <w:i/>
          <w:iCs/>
        </w:rPr>
      </w:pPr>
      <w:r w:rsidRPr="008F01F2">
        <w:rPr>
          <w:i/>
          <w:iCs/>
        </w:rPr>
        <w:t>(b) a common background that cannot be changed, or</w:t>
      </w:r>
    </w:p>
    <w:p w14:paraId="5C944FC3" w14:textId="64F50763" w:rsidR="008F01F2" w:rsidRPr="008F01F2" w:rsidRDefault="008F01F2" w:rsidP="008F01F2">
      <w:pPr>
        <w:pStyle w:val="ListParagraph"/>
        <w:ind w:left="2160"/>
        <w:rPr>
          <w:i/>
          <w:iCs/>
        </w:rPr>
      </w:pPr>
      <w:r w:rsidRPr="008F01F2">
        <w:rPr>
          <w:i/>
          <w:iCs/>
        </w:rPr>
        <w:t>(c) a characteristic or belief that is so fundamental to identity or conscience that a person should not be forced to renounce it.</w:t>
      </w:r>
    </w:p>
    <w:p w14:paraId="3A0C240B" w14:textId="77777777" w:rsidR="008F01F2" w:rsidRPr="008F01F2" w:rsidRDefault="008F01F2" w:rsidP="008F01F2">
      <w:pPr>
        <w:pStyle w:val="ListParagraph"/>
        <w:ind w:left="2160"/>
        <w:rPr>
          <w:i/>
          <w:iCs/>
        </w:rPr>
      </w:pPr>
    </w:p>
    <w:p w14:paraId="7536F0A1" w14:textId="09ED9AA9" w:rsidR="008F01F2" w:rsidRDefault="008F01F2" w:rsidP="008F01F2">
      <w:pPr>
        <w:pStyle w:val="ListParagraph"/>
        <w:ind w:left="1440"/>
      </w:pPr>
      <w:r w:rsidRPr="008F01F2">
        <w:rPr>
          <w:i/>
          <w:iCs/>
        </w:rPr>
        <w:t>(4) The second condition is that the group has a distinct identity in the relevant country because it is perceived as being different by the surrounding society.</w:t>
      </w:r>
      <w:r>
        <w:t>”</w:t>
      </w:r>
    </w:p>
    <w:p w14:paraId="3AB4C294" w14:textId="77777777" w:rsidR="008F01F2" w:rsidRDefault="008F01F2" w:rsidP="008F01F2">
      <w:pPr>
        <w:pStyle w:val="ListParagraph"/>
        <w:ind w:left="1440"/>
      </w:pPr>
    </w:p>
    <w:p w14:paraId="72C8EC15" w14:textId="0BE4B4CD" w:rsidR="008F01F2" w:rsidRDefault="008F01F2" w:rsidP="008F01F2">
      <w:pPr>
        <w:pStyle w:val="ListParagraph"/>
        <w:numPr>
          <w:ilvl w:val="0"/>
          <w:numId w:val="1"/>
        </w:numPr>
      </w:pPr>
      <w:r>
        <w:t>This provision was enacted in the context of prior authority holding that the requirements now set out in s. 33(3)-(4) were disjunctive rather than conjunctive.</w:t>
      </w:r>
      <w:r>
        <w:rPr>
          <w:rStyle w:val="FootnoteReference"/>
        </w:rPr>
        <w:footnoteReference w:id="3"/>
      </w:r>
    </w:p>
    <w:p w14:paraId="0A6C43CA" w14:textId="77777777" w:rsidR="00B613EA" w:rsidRDefault="00B613EA" w:rsidP="00B613EA"/>
    <w:p w14:paraId="39CB3BBA" w14:textId="71044A1B" w:rsidR="00B613EA" w:rsidRDefault="00B613EA" w:rsidP="00B613EA">
      <w:pPr>
        <w:pStyle w:val="ListParagraph"/>
        <w:numPr>
          <w:ilvl w:val="0"/>
          <w:numId w:val="1"/>
        </w:numPr>
      </w:pPr>
      <w:r>
        <w:t>The Respondent in this case accepts that the test in s. 33(3) is met, on the basis that male trafficking victims share an “</w:t>
      </w:r>
      <w:r>
        <w:rPr>
          <w:i/>
          <w:iCs/>
        </w:rPr>
        <w:t>immutable characteristic</w:t>
      </w:r>
      <w:r>
        <w:t>”:</w:t>
      </w:r>
      <w:r w:rsidR="001E7231">
        <w:t xml:space="preserve"> [</w:t>
      </w:r>
      <w:r w:rsidR="001E7231" w:rsidRPr="00766A61">
        <w:rPr>
          <w:highlight w:val="yellow"/>
        </w:rPr>
        <w:t>R</w:t>
      </w:r>
      <w:r w:rsidR="00610B71">
        <w:rPr>
          <w:highlight w:val="yellow"/>
        </w:rPr>
        <w:t>eference the relevant part of the</w:t>
      </w:r>
      <w:r w:rsidR="00796591" w:rsidRPr="00766A61">
        <w:rPr>
          <w:highlight w:val="yellow"/>
        </w:rPr>
        <w:t xml:space="preserve"> HO </w:t>
      </w:r>
      <w:r w:rsidR="002D0339">
        <w:rPr>
          <w:highlight w:val="yellow"/>
        </w:rPr>
        <w:t>decision/review</w:t>
      </w:r>
      <w:r w:rsidR="00610B71">
        <w:rPr>
          <w:highlight w:val="yellow"/>
        </w:rPr>
        <w:t xml:space="preserve"> here</w:t>
      </w:r>
      <w:r w:rsidR="00DD7B94">
        <w:rPr>
          <w:highlight w:val="yellow"/>
        </w:rPr>
        <w:t>. If this is not the case,</w:t>
      </w:r>
      <w:r w:rsidR="00117CD0">
        <w:rPr>
          <w:highlight w:val="yellow"/>
        </w:rPr>
        <w:t xml:space="preserve"> please consider whether referring to ES will be helpful</w:t>
      </w:r>
      <w:r w:rsidR="00F45314">
        <w:rPr>
          <w:highlight w:val="yellow"/>
        </w:rPr>
        <w:t xml:space="preserve"> and what if any other submissions may need to be made</w:t>
      </w:r>
      <w:r w:rsidR="001E7231" w:rsidRPr="00766A61">
        <w:rPr>
          <w:highlight w:val="yellow"/>
        </w:rPr>
        <w:t>]</w:t>
      </w:r>
      <w:r w:rsidRPr="00766A61">
        <w:rPr>
          <w:highlight w:val="yellow"/>
        </w:rPr>
        <w:t>.</w:t>
      </w:r>
      <w:r>
        <w:t xml:space="preserve"> It is the ‘distinct identity’ test in s. 33(4) which the Respondent denies is satisfied (</w:t>
      </w:r>
      <w:r w:rsidRPr="00B613EA">
        <w:rPr>
          <w:i/>
          <w:iCs/>
        </w:rPr>
        <w:t>ibid</w:t>
      </w:r>
      <w:r>
        <w:t xml:space="preserve">) </w:t>
      </w:r>
      <w:r w:rsidRPr="00B613EA">
        <w:t>and</w:t>
      </w:r>
      <w:r>
        <w:t xml:space="preserve"> is therefore the focus of the present appeal.</w:t>
      </w:r>
    </w:p>
    <w:p w14:paraId="15759441" w14:textId="77777777" w:rsidR="00B613EA" w:rsidRDefault="00B613EA" w:rsidP="00B613EA"/>
    <w:p w14:paraId="02CE077F" w14:textId="0F267A20" w:rsidR="00B613EA" w:rsidRDefault="00B613EA" w:rsidP="00B613EA">
      <w:pPr>
        <w:pStyle w:val="ListParagraph"/>
        <w:numPr>
          <w:ilvl w:val="0"/>
          <w:numId w:val="1"/>
        </w:numPr>
      </w:pPr>
      <w:r>
        <w:t xml:space="preserve">In </w:t>
      </w:r>
      <w:r>
        <w:rPr>
          <w:i/>
          <w:iCs/>
        </w:rPr>
        <w:t xml:space="preserve">EMAP </w:t>
      </w:r>
      <w:r>
        <w:t>[2022] UKUT 335 (IAC), the Upper Tribunal summarised the proper approach to the ‘distinct identity’ test now contained in s. 33(4). The Tribunal noted that:</w:t>
      </w:r>
    </w:p>
    <w:p w14:paraId="022EB5A5" w14:textId="77777777" w:rsidR="00B613EA" w:rsidRDefault="00B613EA" w:rsidP="00B613EA">
      <w:pPr>
        <w:pStyle w:val="ListParagraph"/>
      </w:pPr>
    </w:p>
    <w:p w14:paraId="5A90DB02" w14:textId="2D68410A" w:rsidR="00B613EA" w:rsidRDefault="00B613EA" w:rsidP="00B613EA">
      <w:pPr>
        <w:pStyle w:val="ListParagraph"/>
        <w:numPr>
          <w:ilvl w:val="1"/>
          <w:numId w:val="1"/>
        </w:numPr>
      </w:pPr>
      <w:r>
        <w:t>Whether a proposed PSG has the necessary ‘social visibility’ must be assessed “</w:t>
      </w:r>
      <w:r>
        <w:rPr>
          <w:i/>
          <w:iCs/>
        </w:rPr>
        <w:t>in the context of the society in which it is said to exist</w:t>
      </w:r>
      <w:r>
        <w:t xml:space="preserve">”: §100, see also </w:t>
      </w:r>
      <w:r>
        <w:rPr>
          <w:i/>
          <w:iCs/>
        </w:rPr>
        <w:t xml:space="preserve">JCK (Botswana) </w:t>
      </w:r>
      <w:r>
        <w:t>[2024] UKUT 100 (IAC) at §14.</w:t>
      </w:r>
    </w:p>
    <w:p w14:paraId="63C27D16" w14:textId="216B5FAB" w:rsidR="00B613EA" w:rsidRDefault="00B613EA" w:rsidP="00B613EA"/>
    <w:p w14:paraId="46FB8A98" w14:textId="779D3B3D" w:rsidR="003F7CC9" w:rsidRDefault="00B613EA" w:rsidP="00B613EA">
      <w:pPr>
        <w:pStyle w:val="ListParagraph"/>
        <w:numPr>
          <w:ilvl w:val="1"/>
          <w:numId w:val="1"/>
        </w:numPr>
      </w:pPr>
      <w:r>
        <w:t xml:space="preserve">The existence may be demonstrated by the fact that its members are subject to shared discrimination: §101. While the shared risk of </w:t>
      </w:r>
      <w:r>
        <w:rPr>
          <w:u w:val="single"/>
        </w:rPr>
        <w:t>persecution</w:t>
      </w:r>
      <w:r>
        <w:t xml:space="preserve"> cannot </w:t>
      </w:r>
      <w:r>
        <w:lastRenderedPageBreak/>
        <w:t>itself define the PSG, that persecution “</w:t>
      </w:r>
      <w:r>
        <w:rPr>
          <w:i/>
          <w:iCs/>
        </w:rPr>
        <w:t>may give rise to the social visibility of a certain group within society</w:t>
      </w:r>
      <w:r>
        <w:t>”: §102.</w:t>
      </w:r>
    </w:p>
    <w:p w14:paraId="3B79E988" w14:textId="77777777" w:rsidR="00C22478" w:rsidRDefault="00C22478" w:rsidP="00C22478">
      <w:pPr>
        <w:pStyle w:val="ListParagraph"/>
      </w:pPr>
    </w:p>
    <w:p w14:paraId="64B62A19" w14:textId="190F1B36" w:rsidR="00C22478" w:rsidRDefault="00C22478" w:rsidP="00B613EA">
      <w:pPr>
        <w:pStyle w:val="ListParagraph"/>
        <w:numPr>
          <w:ilvl w:val="1"/>
          <w:numId w:val="1"/>
        </w:numPr>
      </w:pPr>
      <w:r>
        <w:t>Members of the group do not need to be identifiable ‘on sight’ in order to have a ‘shared identity’: §103. The Tribunal elaborated:</w:t>
      </w:r>
    </w:p>
    <w:p w14:paraId="4C4381CE" w14:textId="77777777" w:rsidR="00C22478" w:rsidRDefault="00C22478" w:rsidP="00C22478">
      <w:pPr>
        <w:pStyle w:val="ListParagraph"/>
      </w:pPr>
    </w:p>
    <w:p w14:paraId="007434B4" w14:textId="1A0F1C70" w:rsidR="00C22478" w:rsidRDefault="00C22478" w:rsidP="007A4E99">
      <w:pPr>
        <w:pStyle w:val="ListParagraph"/>
        <w:ind w:left="2160"/>
      </w:pPr>
      <w:r>
        <w:t>“</w:t>
      </w:r>
      <w:r w:rsidRPr="00C22478">
        <w:rPr>
          <w:i/>
          <w:iCs/>
        </w:rPr>
        <w:t xml:space="preserve">When we consider some of the most vulnerable groups that have benefitted from this provision of the Convention – for instance homosexuals </w:t>
      </w:r>
      <w:r w:rsidRPr="00C22478">
        <w:rPr>
          <w:i/>
          <w:iCs/>
          <w:u w:val="single"/>
        </w:rPr>
        <w:t>or former victims of trafficking</w:t>
      </w:r>
      <w:r w:rsidRPr="00C22478">
        <w:rPr>
          <w:i/>
          <w:iCs/>
        </w:rPr>
        <w:t xml:space="preserve"> – the logic of this approach becomes apparent. It is the perception of the group in general that counts. An individual gay man need not therefore establish that he has personally been perceived or identified as gay in the hostile environment from which he comes, it is enough that he can show that gay men in general are perceived as different by the surrounding society.</w:t>
      </w:r>
      <w:r>
        <w:t>”</w:t>
      </w:r>
    </w:p>
    <w:p w14:paraId="4C929F66" w14:textId="1F9D6B71" w:rsidR="00C22478" w:rsidRDefault="00C22478" w:rsidP="00C22478">
      <w:pPr>
        <w:pStyle w:val="ListParagraph"/>
        <w:ind w:left="2160"/>
      </w:pPr>
      <w:r>
        <w:t>(Emphasis added.)</w:t>
      </w:r>
    </w:p>
    <w:p w14:paraId="3D858751" w14:textId="77777777" w:rsidR="00C22478" w:rsidRDefault="00C22478" w:rsidP="00C22478">
      <w:pPr>
        <w:pStyle w:val="ListParagraph"/>
        <w:ind w:left="2160"/>
      </w:pPr>
    </w:p>
    <w:p w14:paraId="40DC912C" w14:textId="5172EAF8" w:rsidR="00C22478" w:rsidRDefault="00C22478" w:rsidP="00C22478">
      <w:pPr>
        <w:pStyle w:val="ListParagraph"/>
        <w:numPr>
          <w:ilvl w:val="1"/>
          <w:numId w:val="1"/>
        </w:numPr>
      </w:pPr>
      <w:r>
        <w:t>The group might be perceived as different only by a part of society, rather than the society in question as a whole: §104.</w:t>
      </w:r>
    </w:p>
    <w:p w14:paraId="497E8B59" w14:textId="77777777" w:rsidR="00C22478" w:rsidRDefault="00C22478" w:rsidP="00C22478"/>
    <w:p w14:paraId="380ACD90" w14:textId="7EF4D6F8" w:rsidR="00C22478" w:rsidRDefault="00A55D5F" w:rsidP="00C22478">
      <w:pPr>
        <w:pStyle w:val="ListParagraph"/>
        <w:numPr>
          <w:ilvl w:val="0"/>
          <w:numId w:val="1"/>
        </w:numPr>
      </w:pPr>
      <w:r>
        <w:t xml:space="preserve">The Tribunal in </w:t>
      </w:r>
      <w:r>
        <w:rPr>
          <w:i/>
          <w:iCs/>
        </w:rPr>
        <w:t xml:space="preserve">EMAP </w:t>
      </w:r>
      <w:r>
        <w:t>additionally noted with approval US authority in which the court had referred to the existence of legislative measures for the protection of a group as “</w:t>
      </w:r>
      <w:r>
        <w:rPr>
          <w:i/>
          <w:iCs/>
        </w:rPr>
        <w:t>significant evidence</w:t>
      </w:r>
      <w:r>
        <w:t>” that the society in question “</w:t>
      </w:r>
      <w:r w:rsidRPr="00A55D5F">
        <w:rPr>
          <w:i/>
          <w:iCs/>
        </w:rPr>
        <w:t>recognizes a particular class of individuals as uniquely vulnerable</w:t>
      </w:r>
      <w:r>
        <w:t xml:space="preserve">”: </w:t>
      </w:r>
      <w:r>
        <w:rPr>
          <w:i/>
          <w:iCs/>
        </w:rPr>
        <w:t xml:space="preserve">EMAP </w:t>
      </w:r>
      <w:r>
        <w:t>§104.</w:t>
      </w:r>
    </w:p>
    <w:p w14:paraId="09D2D142" w14:textId="77777777" w:rsidR="00A55D5F" w:rsidRDefault="00A55D5F" w:rsidP="00A55D5F"/>
    <w:p w14:paraId="021C66A6" w14:textId="0129ED08" w:rsidR="00A55D5F" w:rsidRDefault="00A55D5F" w:rsidP="00A55D5F">
      <w:pPr>
        <w:rPr>
          <w:i/>
          <w:iCs/>
        </w:rPr>
      </w:pPr>
      <w:r>
        <w:rPr>
          <w:i/>
          <w:iCs/>
        </w:rPr>
        <w:t>Application in the present context</w:t>
      </w:r>
    </w:p>
    <w:p w14:paraId="2E083D1B" w14:textId="77777777" w:rsidR="00A55D5F" w:rsidRDefault="00A55D5F" w:rsidP="00A55D5F">
      <w:pPr>
        <w:rPr>
          <w:i/>
          <w:iCs/>
        </w:rPr>
      </w:pPr>
    </w:p>
    <w:p w14:paraId="4A6B437E" w14:textId="77777777" w:rsidR="00F21505" w:rsidRDefault="00A55D5F" w:rsidP="00A55D5F">
      <w:pPr>
        <w:pStyle w:val="ListParagraph"/>
        <w:numPr>
          <w:ilvl w:val="0"/>
          <w:numId w:val="1"/>
        </w:numPr>
      </w:pPr>
      <w:r>
        <w:t xml:space="preserve">The Appellant is not aware of any reported case in which the Upper Tribunal or any higher court has considered whether male victims of trafficking in Albania form a PSG. That issue has, however, been addressed recently by the Upper Tribunal in an unreported decision, </w:t>
      </w:r>
      <w:r>
        <w:rPr>
          <w:i/>
          <w:iCs/>
        </w:rPr>
        <w:t xml:space="preserve">ES </w:t>
      </w:r>
      <w:r>
        <w:t>(UI-2025-000360).</w:t>
      </w:r>
      <w:r w:rsidR="008B640F">
        <w:t xml:space="preserve"> </w:t>
      </w:r>
    </w:p>
    <w:p w14:paraId="4663EAFC" w14:textId="77777777" w:rsidR="00F21505" w:rsidRDefault="00F21505" w:rsidP="00F21505">
      <w:pPr>
        <w:pStyle w:val="ListParagraph"/>
        <w:ind w:left="680"/>
      </w:pPr>
    </w:p>
    <w:p w14:paraId="2E466DCC" w14:textId="05B6A1D6" w:rsidR="00A55D5F" w:rsidRDefault="008B640F" w:rsidP="00A55D5F">
      <w:pPr>
        <w:pStyle w:val="ListParagraph"/>
        <w:numPr>
          <w:ilvl w:val="0"/>
          <w:numId w:val="1"/>
        </w:numPr>
      </w:pPr>
      <w:r>
        <w:lastRenderedPageBreak/>
        <w:t xml:space="preserve">The Appellant requests permission to cite </w:t>
      </w:r>
      <w:r>
        <w:rPr>
          <w:i/>
          <w:iCs/>
        </w:rPr>
        <w:t>ES</w:t>
      </w:r>
      <w:r>
        <w:t>, as a directly relevant Upper Tribunal decision deciding a point not addressed in any reported case.</w:t>
      </w:r>
      <w:r>
        <w:rPr>
          <w:rStyle w:val="FootnoteReference"/>
        </w:rPr>
        <w:footnoteReference w:id="4"/>
      </w:r>
    </w:p>
    <w:p w14:paraId="72F4DD7E" w14:textId="77777777" w:rsidR="00522721" w:rsidRDefault="00522721" w:rsidP="00522721"/>
    <w:p w14:paraId="63FE1D57" w14:textId="1223CC2C" w:rsidR="00522721" w:rsidRDefault="00522721" w:rsidP="00522721">
      <w:pPr>
        <w:pStyle w:val="ListParagraph"/>
        <w:numPr>
          <w:ilvl w:val="0"/>
          <w:numId w:val="1"/>
        </w:numPr>
      </w:pPr>
      <w:r>
        <w:t xml:space="preserve">The UT in </w:t>
      </w:r>
      <w:r>
        <w:rPr>
          <w:i/>
          <w:iCs/>
        </w:rPr>
        <w:t xml:space="preserve">ES </w:t>
      </w:r>
      <w:r>
        <w:t>(UTJJ McWilliam and Kamara) noted that ES was an Albanian trafficking victim at risk of re-trafficking on return: §6. The sole issue between the parties was whether the ES could satisfy the ‘distinct identity’ test in s. 33(4) NBA 2022: §§4-8.</w:t>
      </w:r>
      <w:r w:rsidR="00C2054C">
        <w:t xml:space="preserve"> After reviewing the parties’ submissions (§§9-26), the Tribunal held at §§27-39 that ES </w:t>
      </w:r>
      <w:r w:rsidR="00C2054C">
        <w:rPr>
          <w:u w:val="single"/>
        </w:rPr>
        <w:t>did</w:t>
      </w:r>
      <w:r w:rsidR="00C2054C">
        <w:t xml:space="preserve"> satisfy the ‘distinct identity’ test and so belong to a PSG:</w:t>
      </w:r>
    </w:p>
    <w:p w14:paraId="1F30E4EB" w14:textId="77777777" w:rsidR="00C2054C" w:rsidRDefault="00C2054C" w:rsidP="00C2054C">
      <w:pPr>
        <w:pStyle w:val="ListParagraph"/>
      </w:pPr>
    </w:p>
    <w:p w14:paraId="050B57B8" w14:textId="3E41AFBD" w:rsidR="00C2054C" w:rsidRDefault="00C2054C" w:rsidP="00C2054C">
      <w:pPr>
        <w:pStyle w:val="ListParagraph"/>
        <w:ind w:left="1440"/>
      </w:pPr>
      <w:r>
        <w:t>“</w:t>
      </w:r>
      <w:r w:rsidRPr="00C2054C">
        <w:rPr>
          <w:i/>
          <w:iCs/>
        </w:rPr>
        <w:t>27. We did not have the benefit of expert evidence and the evidence before us was limited and piecemeal; however, considering it in the round, we find that a male victim of trafficking may be part of a group which has a distinct identity in Albania because it is perceived as being different by the surrounding society. Whether such a person is at risk as a result is a fact sensitive.</w:t>
      </w:r>
    </w:p>
    <w:p w14:paraId="04F83379" w14:textId="77777777" w:rsidR="00C2054C" w:rsidRDefault="00C2054C" w:rsidP="00C2054C">
      <w:pPr>
        <w:pStyle w:val="ListParagraph"/>
        <w:ind w:left="1440"/>
      </w:pPr>
    </w:p>
    <w:p w14:paraId="31AE2849" w14:textId="65DFEA27" w:rsidR="00C2054C" w:rsidRDefault="00C2054C" w:rsidP="00C2054C">
      <w:pPr>
        <w:pStyle w:val="ListParagraph"/>
        <w:ind w:left="1440"/>
      </w:pPr>
      <w:r>
        <w:t>[…]</w:t>
      </w:r>
    </w:p>
    <w:p w14:paraId="1B38F25D" w14:textId="77777777" w:rsidR="00C2054C" w:rsidRDefault="00C2054C" w:rsidP="00C2054C">
      <w:pPr>
        <w:pStyle w:val="ListParagraph"/>
        <w:ind w:left="1440"/>
      </w:pPr>
    </w:p>
    <w:p w14:paraId="2513BD83" w14:textId="295076B4" w:rsidR="00C2054C" w:rsidRDefault="00C2054C" w:rsidP="00C2054C">
      <w:pPr>
        <w:pStyle w:val="ListParagraph"/>
        <w:ind w:left="1440"/>
      </w:pPr>
      <w:r w:rsidRPr="00C2054C">
        <w:rPr>
          <w:i/>
          <w:iCs/>
        </w:rPr>
        <w:t>39. The Appellant is a member of PSG. This was the sole issue we were asked to determine. On the basis that the Appellant is a member of a PSG, he is a refugee. Mr Wain did not suggest that as a member of a PSG he would not be at risk on return of persecution.</w:t>
      </w:r>
      <w:r>
        <w:t>”</w:t>
      </w:r>
    </w:p>
    <w:p w14:paraId="3DE01305" w14:textId="77777777" w:rsidR="00C2054C" w:rsidRDefault="00C2054C" w:rsidP="00C2054C">
      <w:pPr>
        <w:pStyle w:val="ListParagraph"/>
        <w:ind w:left="1440"/>
      </w:pPr>
    </w:p>
    <w:p w14:paraId="215E3A40" w14:textId="050622E8" w:rsidR="00C2054C" w:rsidRDefault="00C2054C" w:rsidP="00C2054C">
      <w:pPr>
        <w:pStyle w:val="ListParagraph"/>
        <w:numPr>
          <w:ilvl w:val="0"/>
          <w:numId w:val="1"/>
        </w:numPr>
      </w:pPr>
      <w:r>
        <w:t xml:space="preserve">As noted at §27, the UT reached this conclusion without the benefit of assistance by expert evidence, in reliance solely on generic objective material. That material included in particular: the Respondent’s CPIN </w:t>
      </w:r>
      <w:hyperlink r:id="rId12" w:history="1">
        <w:r w:rsidRPr="008F01F2">
          <w:rPr>
            <w:rStyle w:val="Hyperlink"/>
            <w:i/>
            <w:iCs/>
          </w:rPr>
          <w:t>Albania: Human trafficking</w:t>
        </w:r>
      </w:hyperlink>
      <w:r>
        <w:rPr>
          <w:i/>
          <w:iCs/>
        </w:rPr>
        <w:t xml:space="preserve"> </w:t>
      </w:r>
      <w:r>
        <w:t xml:space="preserve">(version 16.0, July 2024) and the materials cited therein; version 15.0 of the same CPIN; and the Respondent’s </w:t>
      </w:r>
      <w:hyperlink r:id="rId13" w:history="1">
        <w:r w:rsidRPr="00C2054C">
          <w:rPr>
            <w:rStyle w:val="Hyperlink"/>
            <w:i/>
            <w:iCs/>
          </w:rPr>
          <w:t>Report of a fact-finding mission – Albania: Human trafficking</w:t>
        </w:r>
      </w:hyperlink>
      <w:r>
        <w:rPr>
          <w:i/>
          <w:iCs/>
        </w:rPr>
        <w:t xml:space="preserve"> </w:t>
      </w:r>
      <w:r>
        <w:t>(December 2022).</w:t>
      </w:r>
    </w:p>
    <w:p w14:paraId="5C1FA69D" w14:textId="77777777" w:rsidR="00C2054C" w:rsidRDefault="00C2054C" w:rsidP="00C2054C"/>
    <w:p w14:paraId="7092B5B2" w14:textId="363B1CA3" w:rsidR="00C2054C" w:rsidRDefault="00C2054C" w:rsidP="00C2054C">
      <w:r>
        <w:rPr>
          <w:b/>
          <w:bCs/>
        </w:rPr>
        <w:t>Submissions</w:t>
      </w:r>
    </w:p>
    <w:p w14:paraId="18EE77A7" w14:textId="77777777" w:rsidR="00C2054C" w:rsidRDefault="00C2054C" w:rsidP="00C2054C"/>
    <w:p w14:paraId="7E229F76" w14:textId="326DF8E8" w:rsidR="00C2054C" w:rsidRDefault="00F4641C" w:rsidP="00C2054C">
      <w:pPr>
        <w:pStyle w:val="ListParagraph"/>
        <w:numPr>
          <w:ilvl w:val="0"/>
          <w:numId w:val="1"/>
        </w:numPr>
      </w:pPr>
      <w:r>
        <w:t>With respect to the issue of whether</w:t>
      </w:r>
      <w:r w:rsidR="00CC2D41">
        <w:t xml:space="preserve"> the Appellant satisfies the ‘distinct identity’ test in s. 33(4) NBA 2022</w:t>
      </w:r>
      <w:r w:rsidR="00EE5F53">
        <w:t xml:space="preserve">, </w:t>
      </w:r>
      <w:r w:rsidR="00CC2D41">
        <w:t>the Tribunal should decide that issue in the Appellant’s favour</w:t>
      </w:r>
      <w:r w:rsidR="00EE5F53">
        <w:t xml:space="preserve"> for the following reasons</w:t>
      </w:r>
      <w:r w:rsidR="00CC2D41">
        <w:t>.</w:t>
      </w:r>
    </w:p>
    <w:p w14:paraId="1B275AF2" w14:textId="77777777" w:rsidR="00CC2D41" w:rsidRDefault="00CC2D41" w:rsidP="00CC2D41"/>
    <w:p w14:paraId="24ADFC56" w14:textId="77777777" w:rsidR="00E5356F" w:rsidRDefault="00CC2D41" w:rsidP="00E5356F">
      <w:pPr>
        <w:pStyle w:val="ListParagraph"/>
        <w:numPr>
          <w:ilvl w:val="0"/>
          <w:numId w:val="1"/>
        </w:numPr>
      </w:pPr>
      <w:r w:rsidRPr="008A273E">
        <w:rPr>
          <w:u w:val="single"/>
        </w:rPr>
        <w:t>First</w:t>
      </w:r>
      <w:r>
        <w:t xml:space="preserve">, that was the conclusion of the UT in </w:t>
      </w:r>
      <w:r w:rsidRPr="008A273E">
        <w:rPr>
          <w:i/>
          <w:iCs/>
        </w:rPr>
        <w:t>ES</w:t>
      </w:r>
      <w:r>
        <w:t xml:space="preserve">, discussed above. </w:t>
      </w:r>
    </w:p>
    <w:p w14:paraId="41B62BC9" w14:textId="77777777" w:rsidR="00E5356F" w:rsidRDefault="00E5356F" w:rsidP="00E5356F">
      <w:pPr>
        <w:pStyle w:val="ListParagraph"/>
      </w:pPr>
    </w:p>
    <w:p w14:paraId="2EC64928" w14:textId="110FC4D6" w:rsidR="004460DC" w:rsidRDefault="00824998" w:rsidP="00E5356F">
      <w:pPr>
        <w:pStyle w:val="ListParagraph"/>
        <w:numPr>
          <w:ilvl w:val="0"/>
          <w:numId w:val="1"/>
        </w:numPr>
        <w:rPr>
          <w:highlight w:val="yellow"/>
        </w:rPr>
      </w:pPr>
      <w:r w:rsidRPr="00610B71">
        <w:rPr>
          <w:u w:val="single"/>
        </w:rPr>
        <w:t>Second,</w:t>
      </w:r>
      <w:r w:rsidRPr="00610B71">
        <w:t xml:space="preserve"> </w:t>
      </w:r>
      <w:r>
        <w:rPr>
          <w:highlight w:val="yellow"/>
        </w:rPr>
        <w:t>[</w:t>
      </w:r>
      <w:r w:rsidR="00610B71">
        <w:rPr>
          <w:highlight w:val="yellow"/>
        </w:rPr>
        <w:t>H</w:t>
      </w:r>
      <w:r w:rsidR="004675C1">
        <w:rPr>
          <w:highlight w:val="yellow"/>
        </w:rPr>
        <w:t xml:space="preserve">ere </w:t>
      </w:r>
      <w:r w:rsidR="0082600C">
        <w:rPr>
          <w:highlight w:val="yellow"/>
        </w:rPr>
        <w:t xml:space="preserve">draw on any additional </w:t>
      </w:r>
      <w:r w:rsidR="0082600C">
        <w:rPr>
          <w:highlight w:val="yellow"/>
        </w:rPr>
        <w:t xml:space="preserve">evidence </w:t>
      </w:r>
      <w:r w:rsidR="003266D0">
        <w:rPr>
          <w:highlight w:val="yellow"/>
        </w:rPr>
        <w:t xml:space="preserve">that you have obtain in relation to your client’s case </w:t>
      </w:r>
      <w:r w:rsidR="0082600C">
        <w:rPr>
          <w:highlight w:val="yellow"/>
        </w:rPr>
        <w:t xml:space="preserve">including expert evidence </w:t>
      </w:r>
      <w:r w:rsidR="004675C1">
        <w:rPr>
          <w:highlight w:val="yellow"/>
        </w:rPr>
        <w:t>to be submitted</w:t>
      </w:r>
      <w:r w:rsidR="003266D0">
        <w:rPr>
          <w:highlight w:val="yellow"/>
        </w:rPr>
        <w:t xml:space="preserve"> if relevant</w:t>
      </w:r>
      <w:r w:rsidR="004675C1">
        <w:rPr>
          <w:highlight w:val="yellow"/>
        </w:rPr>
        <w:t>].</w:t>
      </w:r>
    </w:p>
    <w:p w14:paraId="07F13D4E" w14:textId="77777777" w:rsidR="004460DC" w:rsidRPr="004460DC" w:rsidRDefault="004460DC" w:rsidP="004460DC">
      <w:pPr>
        <w:pStyle w:val="ListParagraph"/>
        <w:rPr>
          <w:highlight w:val="yellow"/>
        </w:rPr>
      </w:pPr>
    </w:p>
    <w:p w14:paraId="10AA3484" w14:textId="73A25425" w:rsidR="004460DC" w:rsidRDefault="004460DC" w:rsidP="004460DC">
      <w:pPr>
        <w:pStyle w:val="ListParagraph"/>
        <w:numPr>
          <w:ilvl w:val="0"/>
          <w:numId w:val="1"/>
        </w:numPr>
      </w:pPr>
      <w:r>
        <w:rPr>
          <w:u w:val="single"/>
        </w:rPr>
        <w:t>Third</w:t>
      </w:r>
      <w:r>
        <w:t>, nothing in the material relied upon by the Respondent contradicts the above. The Respondent relies solely upon the assessment made at §2.1.3 of her 2024 CPIN: [</w:t>
      </w:r>
      <w:r w:rsidRPr="004675C1">
        <w:rPr>
          <w:highlight w:val="yellow"/>
        </w:rPr>
        <w:t>R</w:t>
      </w:r>
      <w:r w:rsidR="00177834">
        <w:rPr>
          <w:highlight w:val="yellow"/>
        </w:rPr>
        <w:t>eference the relevant part of the HO</w:t>
      </w:r>
      <w:r w:rsidRPr="004675C1">
        <w:rPr>
          <w:highlight w:val="yellow"/>
        </w:rPr>
        <w:t xml:space="preserve"> decision/</w:t>
      </w:r>
      <w:r w:rsidRPr="00177834">
        <w:rPr>
          <w:highlight w:val="yellow"/>
        </w:rPr>
        <w:t>review</w:t>
      </w:r>
      <w:r w:rsidR="00177834" w:rsidRPr="00177834">
        <w:rPr>
          <w:highlight w:val="yellow"/>
        </w:rPr>
        <w:t xml:space="preserve"> here</w:t>
      </w:r>
      <w:r w:rsidR="005300DE">
        <w:t xml:space="preserve">. </w:t>
      </w:r>
      <w:r w:rsidR="00212215" w:rsidRPr="00683297">
        <w:rPr>
          <w:highlight w:val="yellow"/>
        </w:rPr>
        <w:t xml:space="preserve">Amend this paragraph if there is additional evidence </w:t>
      </w:r>
      <w:r w:rsidR="00212215">
        <w:rPr>
          <w:highlight w:val="yellow"/>
        </w:rPr>
        <w:t>put forward by</w:t>
      </w:r>
      <w:r w:rsidR="00212215" w:rsidRPr="00683297">
        <w:rPr>
          <w:highlight w:val="yellow"/>
        </w:rPr>
        <w:t xml:space="preserve"> the Respondent with regard to </w:t>
      </w:r>
      <w:r w:rsidR="00212215">
        <w:rPr>
          <w:highlight w:val="yellow"/>
        </w:rPr>
        <w:t>whether trafficked males can be part of a</w:t>
      </w:r>
      <w:r w:rsidR="00212215" w:rsidRPr="00683297">
        <w:rPr>
          <w:highlight w:val="yellow"/>
        </w:rPr>
        <w:t xml:space="preserve"> PSG</w:t>
      </w:r>
      <w:r w:rsidRPr="005300DE">
        <w:rPr>
          <w:highlight w:val="yellow"/>
        </w:rPr>
        <w:t>].</w:t>
      </w:r>
      <w:r>
        <w:t xml:space="preserve"> However, for the reasons explained in detail by the UT in </w:t>
      </w:r>
      <w:r>
        <w:rPr>
          <w:i/>
          <w:iCs/>
        </w:rPr>
        <w:t>ES</w:t>
      </w:r>
      <w:r>
        <w:t>, in fact the detailed evidence in the CPIN (and the related evidence in the 2022 Fact-finding mission) supports the Appellant’s case on this issue. In particular:</w:t>
      </w:r>
    </w:p>
    <w:p w14:paraId="176BA20D" w14:textId="77777777" w:rsidR="00904539" w:rsidRDefault="00904539" w:rsidP="00904539">
      <w:pPr>
        <w:pStyle w:val="ListParagraph"/>
      </w:pPr>
    </w:p>
    <w:p w14:paraId="17347D6E" w14:textId="5FBC1414" w:rsidR="00904539" w:rsidRDefault="00904539" w:rsidP="00904539">
      <w:pPr>
        <w:pStyle w:val="ListParagraph"/>
        <w:numPr>
          <w:ilvl w:val="1"/>
          <w:numId w:val="1"/>
        </w:numPr>
      </w:pPr>
      <w:r>
        <w:t xml:space="preserve">Trafficking legislation is not defined in terms of the gender of the victim: see §7 of the CPIN summarising the legal framework, and giving no indication of gender distinctions; also p 28 of the </w:t>
      </w:r>
      <w:r>
        <w:rPr>
          <w:i/>
          <w:iCs/>
        </w:rPr>
        <w:t>Fact-finding mission</w:t>
      </w:r>
      <w:r>
        <w:t>, recording evidence given by the organisation Tjeter Vizion that there is no discrimination between male and female victims in law. While some support services (e.g. safehouses) are gender specific, alternative provision is made for men, who are thus expressly recognised by the legal framework</w:t>
      </w:r>
      <w:r w:rsidR="00C64B4C">
        <w:t xml:space="preserve"> (see</w:t>
      </w:r>
      <w:r w:rsidR="001005B5">
        <w:t xml:space="preserve"> page 17)</w:t>
      </w:r>
      <w:r>
        <w:t>. That the legal framework recognises both male and female victims is evidence of societal attitudes for the purposes of the ‘distinct identity’ test.</w:t>
      </w:r>
    </w:p>
    <w:p w14:paraId="53BC9AFC" w14:textId="77777777" w:rsidR="00904539" w:rsidRDefault="00904539" w:rsidP="00904539"/>
    <w:p w14:paraId="05928DF7" w14:textId="3C24B0B7" w:rsidR="00904539" w:rsidRDefault="001005B5" w:rsidP="00904539">
      <w:pPr>
        <w:pStyle w:val="ListParagraph"/>
        <w:numPr>
          <w:ilvl w:val="1"/>
          <w:numId w:val="1"/>
        </w:numPr>
      </w:pPr>
      <w:r>
        <w:t>T</w:t>
      </w:r>
      <w:r w:rsidR="00263DAF">
        <w:t xml:space="preserve">he Respondent’s </w:t>
      </w:r>
      <w:r w:rsidR="00263DAF" w:rsidRPr="00365F7A">
        <w:rPr>
          <w:i/>
          <w:iCs/>
        </w:rPr>
        <w:t xml:space="preserve">Fact-finding mission </w:t>
      </w:r>
      <w:r w:rsidR="00263DAF">
        <w:t xml:space="preserve">in fact contains significant material demonstrating the stigma faced by male victims. This stigma is itself a </w:t>
      </w:r>
      <w:r w:rsidR="00263DAF">
        <w:lastRenderedPageBreak/>
        <w:t>significant reason why male victims are reluctant to report their experiences and access support</w:t>
      </w:r>
      <w:r w:rsidR="008125EB">
        <w:t xml:space="preserve"> (</w:t>
      </w:r>
      <w:r w:rsidR="00276D3A">
        <w:t xml:space="preserve">see </w:t>
      </w:r>
      <w:r w:rsidR="008125EB">
        <w:t>p19)</w:t>
      </w:r>
      <w:r w:rsidR="00263DAF">
        <w:t xml:space="preserve">. </w:t>
      </w:r>
      <w:r w:rsidR="00904539">
        <w:t xml:space="preserve">The </w:t>
      </w:r>
      <w:r w:rsidR="00904539">
        <w:rPr>
          <w:i/>
          <w:iCs/>
        </w:rPr>
        <w:t xml:space="preserve">Fact-finding mission </w:t>
      </w:r>
      <w:r w:rsidR="00904539">
        <w:t>records the evidence of the organisation NISMA ARSIS, which provides services to vulnerable children, youth and families, that (p 32):</w:t>
      </w:r>
    </w:p>
    <w:p w14:paraId="625CFD18" w14:textId="77777777" w:rsidR="00904539" w:rsidRDefault="00904539" w:rsidP="00904539">
      <w:pPr>
        <w:pStyle w:val="ListParagraph"/>
      </w:pPr>
    </w:p>
    <w:p w14:paraId="24665CAF" w14:textId="77777777" w:rsidR="00904539" w:rsidRPr="00C236C7" w:rsidRDefault="00904539" w:rsidP="00904539">
      <w:pPr>
        <w:pStyle w:val="ListParagraph"/>
        <w:ind w:left="2160"/>
        <w:rPr>
          <w:i/>
          <w:iCs/>
        </w:rPr>
      </w:pPr>
      <w:r>
        <w:t>“</w:t>
      </w:r>
      <w:r w:rsidRPr="00C236C7">
        <w:rPr>
          <w:i/>
          <w:iCs/>
        </w:rPr>
        <w:t>Q. Do men face the same levels of stigma?</w:t>
      </w:r>
    </w:p>
    <w:p w14:paraId="05FE6CAF" w14:textId="77777777" w:rsidR="00904539" w:rsidRPr="00C236C7" w:rsidRDefault="00904539" w:rsidP="00904539">
      <w:pPr>
        <w:pStyle w:val="ListParagraph"/>
        <w:ind w:left="2160"/>
        <w:rPr>
          <w:i/>
          <w:iCs/>
        </w:rPr>
      </w:pPr>
    </w:p>
    <w:p w14:paraId="0C9C3784" w14:textId="77777777" w:rsidR="00904539" w:rsidRPr="00C236C7" w:rsidRDefault="00904539" w:rsidP="00904539">
      <w:pPr>
        <w:pStyle w:val="ListParagraph"/>
        <w:ind w:left="2160"/>
      </w:pPr>
      <w:r w:rsidRPr="00C236C7">
        <w:rPr>
          <w:i/>
          <w:iCs/>
        </w:rPr>
        <w:t>A. I have not identified a big difference. For the past 10 years there has been more support services, including from the state. We have more procedures, new structures and more engagement, but there is a need for more financing.</w:t>
      </w:r>
      <w:r>
        <w:t>”</w:t>
      </w:r>
    </w:p>
    <w:p w14:paraId="600A706F" w14:textId="77777777" w:rsidR="00904539" w:rsidRDefault="00904539" w:rsidP="00904539">
      <w:pPr>
        <w:pStyle w:val="ListParagraph"/>
        <w:ind w:left="1440"/>
      </w:pPr>
    </w:p>
    <w:p w14:paraId="0B8835FB" w14:textId="77777777" w:rsidR="00904539" w:rsidRDefault="00904539" w:rsidP="00904539">
      <w:pPr>
        <w:pStyle w:val="ListParagraph"/>
        <w:numPr>
          <w:ilvl w:val="1"/>
          <w:numId w:val="1"/>
        </w:numPr>
      </w:pPr>
      <w:r>
        <w:t xml:space="preserve">The </w:t>
      </w:r>
      <w:r>
        <w:rPr>
          <w:i/>
          <w:iCs/>
        </w:rPr>
        <w:t xml:space="preserve">Fact-finding mission </w:t>
      </w:r>
      <w:r>
        <w:t>additionally (at p.100) reports the evidence of an official from Key Adviser (a private employment agency which works alongside UNICEF Albania to support trafficking victims) that:</w:t>
      </w:r>
    </w:p>
    <w:p w14:paraId="038BA7FE" w14:textId="77777777" w:rsidR="00904539" w:rsidRDefault="00904539" w:rsidP="00904539">
      <w:pPr>
        <w:pStyle w:val="ListParagraph"/>
        <w:ind w:left="1440"/>
      </w:pPr>
    </w:p>
    <w:p w14:paraId="1FB86B88" w14:textId="77777777" w:rsidR="00904539" w:rsidRPr="00E808D2" w:rsidRDefault="00904539" w:rsidP="00904539">
      <w:pPr>
        <w:ind w:left="2160"/>
        <w:rPr>
          <w:i/>
          <w:iCs/>
        </w:rPr>
      </w:pPr>
      <w:r>
        <w:t>“</w:t>
      </w:r>
      <w:r w:rsidRPr="00E808D2">
        <w:rPr>
          <w:i/>
          <w:iCs/>
        </w:rPr>
        <w:t>Q. Is it mostly women who suffer the stigma?</w:t>
      </w:r>
    </w:p>
    <w:p w14:paraId="0101F2FD" w14:textId="77777777" w:rsidR="00904539" w:rsidRPr="00E808D2" w:rsidRDefault="00904539" w:rsidP="00904539">
      <w:pPr>
        <w:ind w:left="2160"/>
        <w:rPr>
          <w:i/>
          <w:iCs/>
        </w:rPr>
      </w:pPr>
    </w:p>
    <w:p w14:paraId="42D37853" w14:textId="77777777" w:rsidR="00904539" w:rsidRPr="00E808D2" w:rsidRDefault="00904539" w:rsidP="00904539">
      <w:pPr>
        <w:ind w:left="2160"/>
      </w:pPr>
      <w:r w:rsidRPr="00E808D2">
        <w:rPr>
          <w:i/>
          <w:iCs/>
        </w:rPr>
        <w:t>A. Stigma affects both men and women, boys and girls, I would actually say boys and men feel much more stigmatised than women.</w:t>
      </w:r>
      <w:r>
        <w:t>”</w:t>
      </w:r>
    </w:p>
    <w:p w14:paraId="45BBECA2" w14:textId="77777777" w:rsidR="00904539" w:rsidRDefault="00904539" w:rsidP="00904539">
      <w:pPr>
        <w:pStyle w:val="ListParagraph"/>
        <w:ind w:left="1440"/>
      </w:pPr>
    </w:p>
    <w:p w14:paraId="294C82F8" w14:textId="5913D0D0" w:rsidR="00963490" w:rsidRDefault="00904539" w:rsidP="00960936">
      <w:pPr>
        <w:pStyle w:val="ListParagraph"/>
        <w:numPr>
          <w:ilvl w:val="1"/>
          <w:numId w:val="1"/>
        </w:numPr>
      </w:pPr>
      <w:r>
        <w:t xml:space="preserve">The evidence addressing social stigma and ‘perceptions’ at §9.1 of the 2024 CPIN addresses victims generally and does not indicate that the stigma identified is limited to female victims. This is not the result of simple omission, as e.g. the </w:t>
      </w:r>
      <w:hyperlink r:id="rId14" w:history="1">
        <w:r w:rsidRPr="00C236C7">
          <w:rPr>
            <w:rStyle w:val="Hyperlink"/>
          </w:rPr>
          <w:t>UNICEF report</w:t>
        </w:r>
      </w:hyperlink>
      <w:r>
        <w:t xml:space="preserve"> (relied on at §§9.1.1 and 9.1.2) relied upon assessing the experience of 13 female victims and 1 male victim (CPIN §9.1.1); it could therefore be expected to have noted if the male victim’s experience of stigma had been markedly different to that of female victims.</w:t>
      </w:r>
    </w:p>
    <w:p w14:paraId="0B7A0BFF" w14:textId="77777777" w:rsidR="00904539" w:rsidRDefault="00904539" w:rsidP="00904539">
      <w:pPr>
        <w:pStyle w:val="ListParagraph"/>
      </w:pPr>
    </w:p>
    <w:p w14:paraId="6048C64B" w14:textId="7EE81511" w:rsidR="00904539" w:rsidRDefault="00904539" w:rsidP="00365F7A">
      <w:pPr>
        <w:pStyle w:val="ListParagraph"/>
        <w:numPr>
          <w:ilvl w:val="0"/>
          <w:numId w:val="1"/>
        </w:numPr>
      </w:pPr>
      <w:r>
        <w:t>The CPIN’s suggestion that there is “</w:t>
      </w:r>
      <w:r>
        <w:rPr>
          <w:i/>
          <w:iCs/>
        </w:rPr>
        <w:t>no indication</w:t>
      </w:r>
      <w:r>
        <w:t xml:space="preserve">” that male victims face stigma/discrimination (§5.1.3) is thus unsupported by the content of the CPIN and the </w:t>
      </w:r>
      <w:r>
        <w:rPr>
          <w:i/>
          <w:iCs/>
        </w:rPr>
        <w:t>Fact-finding mission</w:t>
      </w:r>
      <w:r>
        <w:t>.</w:t>
      </w:r>
    </w:p>
    <w:p w14:paraId="6CB85631" w14:textId="77777777" w:rsidR="002B367B" w:rsidRDefault="002B367B" w:rsidP="002B367B">
      <w:pPr>
        <w:pStyle w:val="ListParagraph"/>
      </w:pPr>
    </w:p>
    <w:p w14:paraId="45335B95" w14:textId="4CF18FD9" w:rsidR="00A441F3" w:rsidRDefault="00A441F3" w:rsidP="00A441F3">
      <w:pPr>
        <w:pStyle w:val="ListParagraph"/>
        <w:numPr>
          <w:ilvl w:val="0"/>
          <w:numId w:val="1"/>
        </w:numPr>
      </w:pPr>
      <w:r>
        <w:t xml:space="preserve">It should be remembered that members of a PSG do not need to be identifiable ‘on sight’ (§8(c) above), and that discrimination faced by members of the group who </w:t>
      </w:r>
      <w:r>
        <w:rPr>
          <w:u w:val="single"/>
        </w:rPr>
        <w:t>are</w:t>
      </w:r>
      <w:r>
        <w:t xml:space="preserve"> identified may demonstrate that they are recognised as a distinct group (§8(b) above). Both of these features are present in the case of male victims of trafficking in Albania.</w:t>
      </w:r>
    </w:p>
    <w:p w14:paraId="5E6F2944" w14:textId="77777777" w:rsidR="00AF1B17" w:rsidRDefault="00AF1B17" w:rsidP="00AF1B17"/>
    <w:p w14:paraId="3C258843" w14:textId="12C2B0FC" w:rsidR="00E808D2" w:rsidRDefault="00AF1B17" w:rsidP="00AF1B17">
      <w:r>
        <w:rPr>
          <w:b/>
          <w:bCs/>
        </w:rPr>
        <w:t>Conclusion</w:t>
      </w:r>
      <w:r w:rsidR="00E808D2">
        <w:t xml:space="preserve"> </w:t>
      </w:r>
    </w:p>
    <w:p w14:paraId="36F4F41E" w14:textId="77777777" w:rsidR="00313A8F" w:rsidRDefault="00313A8F" w:rsidP="00313A8F"/>
    <w:p w14:paraId="7D678CD1" w14:textId="77777777" w:rsidR="00E0058C" w:rsidRDefault="00313A8F" w:rsidP="00313A8F">
      <w:pPr>
        <w:pStyle w:val="ListParagraph"/>
        <w:numPr>
          <w:ilvl w:val="0"/>
          <w:numId w:val="1"/>
        </w:numPr>
      </w:pPr>
      <w:r>
        <w:t>For these reasons, male victims of trafficking in Albania do have a ‘distinct identity’ in Albania</w:t>
      </w:r>
      <w:r w:rsidR="00E0058C">
        <w:t xml:space="preserve">, </w:t>
      </w:r>
      <w:r>
        <w:t xml:space="preserve">whether as male victims specifically, or as part of the broader group of both male and female victims of trafficking. </w:t>
      </w:r>
    </w:p>
    <w:p w14:paraId="6A59C13C" w14:textId="77777777" w:rsidR="00E0058C" w:rsidRDefault="00E0058C" w:rsidP="00E0058C">
      <w:pPr>
        <w:pStyle w:val="ListParagraph"/>
        <w:ind w:left="680"/>
      </w:pPr>
    </w:p>
    <w:p w14:paraId="7541285F" w14:textId="77777777" w:rsidR="00E0058C" w:rsidRDefault="00313A8F" w:rsidP="00313A8F">
      <w:pPr>
        <w:pStyle w:val="ListParagraph"/>
        <w:numPr>
          <w:ilvl w:val="0"/>
          <w:numId w:val="1"/>
        </w:numPr>
      </w:pPr>
      <w:r>
        <w:t xml:space="preserve">The test in s. 33(4) NBA 2022 is thus satisfied. </w:t>
      </w:r>
    </w:p>
    <w:p w14:paraId="5F853326" w14:textId="77777777" w:rsidR="007111E7" w:rsidRDefault="007111E7" w:rsidP="007111E7">
      <w:pPr>
        <w:pStyle w:val="ListParagraph"/>
      </w:pPr>
    </w:p>
    <w:p w14:paraId="58E18A58" w14:textId="77777777" w:rsidR="007111E7" w:rsidRDefault="007111E7" w:rsidP="007111E7"/>
    <w:p w14:paraId="4483F430" w14:textId="77777777" w:rsidR="007111E7" w:rsidRDefault="007111E7" w:rsidP="007111E7"/>
    <w:p w14:paraId="5FB6C370" w14:textId="77777777" w:rsidR="00E0058C" w:rsidRDefault="00E0058C" w:rsidP="00E0058C">
      <w:pPr>
        <w:pStyle w:val="ListParagraph"/>
      </w:pPr>
    </w:p>
    <w:p w14:paraId="651F82E6" w14:textId="75DAD6DB" w:rsidR="00AF1B17" w:rsidRPr="00AF1B17" w:rsidRDefault="00AF1B17" w:rsidP="00AF1B17">
      <w:pPr>
        <w:jc w:val="right"/>
        <w:rPr>
          <w:i/>
          <w:iCs/>
        </w:rPr>
      </w:pPr>
    </w:p>
    <w:sectPr w:rsidR="00AF1B17" w:rsidRPr="00AF1B1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D7A6" w14:textId="77777777" w:rsidR="008B11EC" w:rsidRDefault="008B11EC" w:rsidP="008F01F2">
      <w:pPr>
        <w:spacing w:line="240" w:lineRule="auto"/>
      </w:pPr>
      <w:r>
        <w:separator/>
      </w:r>
    </w:p>
  </w:endnote>
  <w:endnote w:type="continuationSeparator" w:id="0">
    <w:p w14:paraId="31BFB5D6" w14:textId="77777777" w:rsidR="008B11EC" w:rsidRDefault="008B11EC" w:rsidP="008F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65603"/>
      <w:docPartObj>
        <w:docPartGallery w:val="Page Numbers (Bottom of Page)"/>
        <w:docPartUnique/>
      </w:docPartObj>
    </w:sdtPr>
    <w:sdtEndPr/>
    <w:sdtContent>
      <w:p w14:paraId="5BA608FE" w14:textId="3CE6181F" w:rsidR="008F01F2" w:rsidRDefault="008F01F2">
        <w:pPr>
          <w:pStyle w:val="Footer"/>
          <w:jc w:val="center"/>
        </w:pPr>
        <w:r>
          <w:fldChar w:fldCharType="begin"/>
        </w:r>
        <w:r>
          <w:instrText>PAGE   \* MERGEFORMAT</w:instrText>
        </w:r>
        <w:r>
          <w:fldChar w:fldCharType="separate"/>
        </w:r>
        <w:r>
          <w:t>2</w:t>
        </w:r>
        <w:r>
          <w:fldChar w:fldCharType="end"/>
        </w:r>
      </w:p>
    </w:sdtContent>
  </w:sdt>
  <w:p w14:paraId="7E749570" w14:textId="77777777" w:rsidR="008F01F2" w:rsidRDefault="008F0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249F" w14:textId="77777777" w:rsidR="008B11EC" w:rsidRDefault="008B11EC" w:rsidP="008F01F2">
      <w:pPr>
        <w:spacing w:line="240" w:lineRule="auto"/>
      </w:pPr>
      <w:r>
        <w:separator/>
      </w:r>
    </w:p>
  </w:footnote>
  <w:footnote w:type="continuationSeparator" w:id="0">
    <w:p w14:paraId="6C076556" w14:textId="77777777" w:rsidR="008B11EC" w:rsidRDefault="008B11EC" w:rsidP="008F01F2">
      <w:pPr>
        <w:spacing w:line="240" w:lineRule="auto"/>
      </w:pPr>
      <w:r>
        <w:continuationSeparator/>
      </w:r>
    </w:p>
  </w:footnote>
  <w:footnote w:id="1">
    <w:p w14:paraId="3F3057BE" w14:textId="1796B0D0" w:rsidR="00937089" w:rsidRDefault="00937089">
      <w:pPr>
        <w:pStyle w:val="FootnoteText"/>
      </w:pPr>
      <w:r>
        <w:rPr>
          <w:rStyle w:val="FootnoteReference"/>
        </w:rPr>
        <w:footnoteRef/>
      </w:r>
      <w:r>
        <w:t xml:space="preserve"> CPIN </w:t>
      </w:r>
      <w:hyperlink r:id="rId1" w:history="1">
        <w:r w:rsidRPr="008F01F2">
          <w:rPr>
            <w:rStyle w:val="Hyperlink"/>
            <w:i/>
            <w:iCs/>
          </w:rPr>
          <w:t>Albania: Human trafficking</w:t>
        </w:r>
      </w:hyperlink>
      <w:r>
        <w:rPr>
          <w:i/>
          <w:iCs/>
        </w:rPr>
        <w:t xml:space="preserve"> </w:t>
      </w:r>
      <w:r>
        <w:t>(version 16.0, July 2024)</w:t>
      </w:r>
    </w:p>
  </w:footnote>
  <w:footnote w:id="2">
    <w:p w14:paraId="632CCFBE" w14:textId="2867533A" w:rsidR="00535BDC" w:rsidRDefault="00535BDC">
      <w:pPr>
        <w:pStyle w:val="FootnoteText"/>
      </w:pPr>
      <w:r>
        <w:rPr>
          <w:rStyle w:val="FootnoteReference"/>
        </w:rPr>
        <w:footnoteRef/>
      </w:r>
      <w:r>
        <w:t xml:space="preserve"> </w:t>
      </w:r>
      <w:r w:rsidRPr="00535BDC">
        <w:t>https://miclu.org/assets/uploads/Albania-trafficking-and-organised-crime-paper-April-2025.pdf</w:t>
      </w:r>
    </w:p>
  </w:footnote>
  <w:footnote w:id="3">
    <w:p w14:paraId="5FF8E1B4" w14:textId="36B68724" w:rsidR="008F01F2" w:rsidRPr="00B613EA" w:rsidRDefault="008F01F2">
      <w:pPr>
        <w:pStyle w:val="FootnoteText"/>
      </w:pPr>
      <w:r>
        <w:rPr>
          <w:rStyle w:val="FootnoteReference"/>
        </w:rPr>
        <w:footnoteRef/>
      </w:r>
      <w:r>
        <w:t xml:space="preserve"> </w:t>
      </w:r>
      <w:r>
        <w:rPr>
          <w:i/>
          <w:iCs/>
        </w:rPr>
        <w:t xml:space="preserve">DH (Particular social group: mental health) Afghanistan </w:t>
      </w:r>
      <w:r>
        <w:t xml:space="preserve">[2020] UKUT 233 (IAC), confirmed (after the enactment of s. 33 NBA 2022 but in an appeal to which the provision did not apply) </w:t>
      </w:r>
      <w:r w:rsidR="00B613EA">
        <w:t xml:space="preserve">in </w:t>
      </w:r>
      <w:r w:rsidR="00B613EA">
        <w:rPr>
          <w:i/>
          <w:iCs/>
        </w:rPr>
        <w:t xml:space="preserve">EMAP </w:t>
      </w:r>
      <w:r w:rsidR="00B613EA">
        <w:t>[2022] UKUT 335 (IAC) at §§90-111.</w:t>
      </w:r>
    </w:p>
  </w:footnote>
  <w:footnote w:id="4">
    <w:p w14:paraId="3099DAFA" w14:textId="5937A0C7" w:rsidR="008B640F" w:rsidRPr="008B640F" w:rsidRDefault="008B640F">
      <w:pPr>
        <w:pStyle w:val="FootnoteText"/>
      </w:pPr>
      <w:r>
        <w:rPr>
          <w:rStyle w:val="FootnoteReference"/>
        </w:rPr>
        <w:footnoteRef/>
      </w:r>
      <w:r>
        <w:t xml:space="preserve"> Permission is required by §16.2(b) of the 1 November 2024 Practice Direction. The PD in its current form does not reproduce the requirements formerly contained in §8.2 of the 13 May 2022 PD (e.g. that an application for permission to cite an unreported decision must certify that the proposition for which the judgment is cited is not to be found in any reported decision or judgment). The Appellant considers that those requirements are in any event satisfied. A copy of the decision in </w:t>
      </w:r>
      <w:r>
        <w:rPr>
          <w:i/>
          <w:iCs/>
        </w:rPr>
        <w:t xml:space="preserve">ES </w:t>
      </w:r>
      <w:r>
        <w:t>is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30DF"/>
    <w:multiLevelType w:val="hybridMultilevel"/>
    <w:tmpl w:val="A9F82218"/>
    <w:lvl w:ilvl="0" w:tplc="4C6893A6">
      <w:start w:val="1"/>
      <w:numFmt w:val="decimal"/>
      <w:lvlText w:val="%1."/>
      <w:lvlJc w:val="left"/>
      <w:pPr>
        <w:ind w:left="680" w:hanging="5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80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A3"/>
    <w:rsid w:val="0000000A"/>
    <w:rsid w:val="00004AC1"/>
    <w:rsid w:val="00015EC0"/>
    <w:rsid w:val="00052331"/>
    <w:rsid w:val="00075EE6"/>
    <w:rsid w:val="00076EC4"/>
    <w:rsid w:val="000A13D2"/>
    <w:rsid w:val="000A70C1"/>
    <w:rsid w:val="000C2B42"/>
    <w:rsid w:val="000D64E0"/>
    <w:rsid w:val="000E2AE5"/>
    <w:rsid w:val="001005B5"/>
    <w:rsid w:val="00100F18"/>
    <w:rsid w:val="001119ED"/>
    <w:rsid w:val="00117CD0"/>
    <w:rsid w:val="00122CD0"/>
    <w:rsid w:val="00125132"/>
    <w:rsid w:val="00137864"/>
    <w:rsid w:val="0015572B"/>
    <w:rsid w:val="00177834"/>
    <w:rsid w:val="001847F5"/>
    <w:rsid w:val="001962E1"/>
    <w:rsid w:val="001D3821"/>
    <w:rsid w:val="001D50C8"/>
    <w:rsid w:val="001E7231"/>
    <w:rsid w:val="00206C06"/>
    <w:rsid w:val="00210343"/>
    <w:rsid w:val="00212215"/>
    <w:rsid w:val="0022438D"/>
    <w:rsid w:val="00263DAF"/>
    <w:rsid w:val="00273A2F"/>
    <w:rsid w:val="00276D3A"/>
    <w:rsid w:val="00283F2A"/>
    <w:rsid w:val="00294A87"/>
    <w:rsid w:val="002968CB"/>
    <w:rsid w:val="002A6718"/>
    <w:rsid w:val="002B367B"/>
    <w:rsid w:val="002C698B"/>
    <w:rsid w:val="002D0339"/>
    <w:rsid w:val="002D26BF"/>
    <w:rsid w:val="002E0C1E"/>
    <w:rsid w:val="002F20D3"/>
    <w:rsid w:val="00303DAA"/>
    <w:rsid w:val="00313A8F"/>
    <w:rsid w:val="00313FCE"/>
    <w:rsid w:val="003266D0"/>
    <w:rsid w:val="003307FC"/>
    <w:rsid w:val="003500B3"/>
    <w:rsid w:val="00365F7A"/>
    <w:rsid w:val="00376462"/>
    <w:rsid w:val="003913C3"/>
    <w:rsid w:val="003A347D"/>
    <w:rsid w:val="003D03F5"/>
    <w:rsid w:val="003D0CFE"/>
    <w:rsid w:val="003F7CC9"/>
    <w:rsid w:val="00401937"/>
    <w:rsid w:val="00401E97"/>
    <w:rsid w:val="004460DC"/>
    <w:rsid w:val="00452584"/>
    <w:rsid w:val="004675C1"/>
    <w:rsid w:val="004724E8"/>
    <w:rsid w:val="00484EE3"/>
    <w:rsid w:val="00496F75"/>
    <w:rsid w:val="004C10E1"/>
    <w:rsid w:val="004D2F7E"/>
    <w:rsid w:val="004E15E1"/>
    <w:rsid w:val="004E54F9"/>
    <w:rsid w:val="004E71B8"/>
    <w:rsid w:val="00522721"/>
    <w:rsid w:val="00525239"/>
    <w:rsid w:val="00526000"/>
    <w:rsid w:val="00526013"/>
    <w:rsid w:val="005300DE"/>
    <w:rsid w:val="00530C43"/>
    <w:rsid w:val="00535BDC"/>
    <w:rsid w:val="00547652"/>
    <w:rsid w:val="0055223B"/>
    <w:rsid w:val="00554388"/>
    <w:rsid w:val="00554A51"/>
    <w:rsid w:val="0058239B"/>
    <w:rsid w:val="005D7D25"/>
    <w:rsid w:val="00610B71"/>
    <w:rsid w:val="00633433"/>
    <w:rsid w:val="00645C99"/>
    <w:rsid w:val="00683297"/>
    <w:rsid w:val="0068662A"/>
    <w:rsid w:val="00690135"/>
    <w:rsid w:val="006F24B7"/>
    <w:rsid w:val="006F3588"/>
    <w:rsid w:val="00704420"/>
    <w:rsid w:val="007111E7"/>
    <w:rsid w:val="00722373"/>
    <w:rsid w:val="00753D35"/>
    <w:rsid w:val="00765026"/>
    <w:rsid w:val="00766A61"/>
    <w:rsid w:val="00796591"/>
    <w:rsid w:val="007A4E99"/>
    <w:rsid w:val="007A61A3"/>
    <w:rsid w:val="007A7FF9"/>
    <w:rsid w:val="007B1524"/>
    <w:rsid w:val="007B1EA7"/>
    <w:rsid w:val="007B6582"/>
    <w:rsid w:val="007D039B"/>
    <w:rsid w:val="007E0851"/>
    <w:rsid w:val="007F298C"/>
    <w:rsid w:val="008125EB"/>
    <w:rsid w:val="0081528E"/>
    <w:rsid w:val="00820E68"/>
    <w:rsid w:val="00824998"/>
    <w:rsid w:val="0082600C"/>
    <w:rsid w:val="00833B03"/>
    <w:rsid w:val="008453C1"/>
    <w:rsid w:val="00850556"/>
    <w:rsid w:val="00860ABB"/>
    <w:rsid w:val="008673C5"/>
    <w:rsid w:val="008A273E"/>
    <w:rsid w:val="008B11EC"/>
    <w:rsid w:val="008B6278"/>
    <w:rsid w:val="008B640F"/>
    <w:rsid w:val="008C61A7"/>
    <w:rsid w:val="008F01F2"/>
    <w:rsid w:val="008F728B"/>
    <w:rsid w:val="00904539"/>
    <w:rsid w:val="0090716C"/>
    <w:rsid w:val="00937089"/>
    <w:rsid w:val="00943D15"/>
    <w:rsid w:val="00960936"/>
    <w:rsid w:val="00963490"/>
    <w:rsid w:val="009977BB"/>
    <w:rsid w:val="00997C54"/>
    <w:rsid w:val="009B6DAC"/>
    <w:rsid w:val="00A3060E"/>
    <w:rsid w:val="00A441F3"/>
    <w:rsid w:val="00A44362"/>
    <w:rsid w:val="00A45C25"/>
    <w:rsid w:val="00A54C18"/>
    <w:rsid w:val="00A55745"/>
    <w:rsid w:val="00A55D5F"/>
    <w:rsid w:val="00A57D30"/>
    <w:rsid w:val="00A92F82"/>
    <w:rsid w:val="00AA40A2"/>
    <w:rsid w:val="00AF1B17"/>
    <w:rsid w:val="00B33B93"/>
    <w:rsid w:val="00B424B9"/>
    <w:rsid w:val="00B46D6A"/>
    <w:rsid w:val="00B613EA"/>
    <w:rsid w:val="00B97756"/>
    <w:rsid w:val="00BC7C56"/>
    <w:rsid w:val="00C2054C"/>
    <w:rsid w:val="00C22478"/>
    <w:rsid w:val="00C236C7"/>
    <w:rsid w:val="00C2671F"/>
    <w:rsid w:val="00C4715A"/>
    <w:rsid w:val="00C61EF3"/>
    <w:rsid w:val="00C64B4C"/>
    <w:rsid w:val="00C66517"/>
    <w:rsid w:val="00C67D93"/>
    <w:rsid w:val="00C67DE5"/>
    <w:rsid w:val="00C819DD"/>
    <w:rsid w:val="00C916CF"/>
    <w:rsid w:val="00C93883"/>
    <w:rsid w:val="00CA47CD"/>
    <w:rsid w:val="00CA7FF7"/>
    <w:rsid w:val="00CB38C0"/>
    <w:rsid w:val="00CB3E19"/>
    <w:rsid w:val="00CB7D7B"/>
    <w:rsid w:val="00CC2D41"/>
    <w:rsid w:val="00CC47C5"/>
    <w:rsid w:val="00CD5EF4"/>
    <w:rsid w:val="00CE12A8"/>
    <w:rsid w:val="00CE38D9"/>
    <w:rsid w:val="00CF7128"/>
    <w:rsid w:val="00D370AC"/>
    <w:rsid w:val="00D44E83"/>
    <w:rsid w:val="00D63212"/>
    <w:rsid w:val="00D65F8E"/>
    <w:rsid w:val="00DC70B6"/>
    <w:rsid w:val="00DD0EA1"/>
    <w:rsid w:val="00DD7B94"/>
    <w:rsid w:val="00DF3541"/>
    <w:rsid w:val="00E0058C"/>
    <w:rsid w:val="00E205BA"/>
    <w:rsid w:val="00E34460"/>
    <w:rsid w:val="00E41395"/>
    <w:rsid w:val="00E5356F"/>
    <w:rsid w:val="00E808D2"/>
    <w:rsid w:val="00EA049C"/>
    <w:rsid w:val="00ED37FC"/>
    <w:rsid w:val="00EE5F53"/>
    <w:rsid w:val="00EE66DC"/>
    <w:rsid w:val="00EE6B2F"/>
    <w:rsid w:val="00F157A1"/>
    <w:rsid w:val="00F21505"/>
    <w:rsid w:val="00F31AB8"/>
    <w:rsid w:val="00F33622"/>
    <w:rsid w:val="00F45314"/>
    <w:rsid w:val="00F4641C"/>
    <w:rsid w:val="00F51636"/>
    <w:rsid w:val="00F64DD9"/>
    <w:rsid w:val="00F8396F"/>
    <w:rsid w:val="00FC068F"/>
    <w:rsid w:val="00FC77C7"/>
    <w:rsid w:val="00FD1E8F"/>
    <w:rsid w:val="00FD583C"/>
    <w:rsid w:val="00FF7A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0953"/>
  <w15:chartTrackingRefBased/>
  <w15:docId w15:val="{1BA7820B-3D1D-4B2A-B9EC-B0E07E6B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A3"/>
    <w:pPr>
      <w:spacing w:after="0" w:line="360" w:lineRule="auto"/>
      <w:jc w:val="both"/>
    </w:pPr>
    <w:rPr>
      <w:rFonts w:ascii="Calibri" w:hAnsi="Calibri" w:cs="Calibri"/>
      <w:sz w:val="24"/>
      <w:szCs w:val="24"/>
    </w:rPr>
  </w:style>
  <w:style w:type="paragraph" w:styleId="Heading1">
    <w:name w:val="heading 1"/>
    <w:basedOn w:val="Normal"/>
    <w:next w:val="Normal"/>
    <w:link w:val="Heading1Char"/>
    <w:uiPriority w:val="9"/>
    <w:qFormat/>
    <w:rsid w:val="007A6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1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1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1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1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1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1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1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8C"/>
    <w:rPr>
      <w:rFonts w:cs="Times New Roman"/>
    </w:rPr>
  </w:style>
  <w:style w:type="character" w:customStyle="1" w:styleId="Heading1Char">
    <w:name w:val="Heading 1 Char"/>
    <w:basedOn w:val="DefaultParagraphFont"/>
    <w:link w:val="Heading1"/>
    <w:uiPriority w:val="9"/>
    <w:rsid w:val="007A6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1A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A61A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A61A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A61A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A61A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A61A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A6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1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1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61A3"/>
    <w:rPr>
      <w:rFonts w:ascii="Arial" w:hAnsi="Arial" w:cs="Arial"/>
      <w:i/>
      <w:iCs/>
      <w:color w:val="404040" w:themeColor="text1" w:themeTint="BF"/>
      <w:sz w:val="24"/>
      <w:szCs w:val="24"/>
    </w:rPr>
  </w:style>
  <w:style w:type="character" w:styleId="IntenseEmphasis">
    <w:name w:val="Intense Emphasis"/>
    <w:basedOn w:val="DefaultParagraphFont"/>
    <w:uiPriority w:val="21"/>
    <w:qFormat/>
    <w:rsid w:val="007A61A3"/>
    <w:rPr>
      <w:i/>
      <w:iCs/>
      <w:color w:val="2F5496" w:themeColor="accent1" w:themeShade="BF"/>
    </w:rPr>
  </w:style>
  <w:style w:type="paragraph" w:styleId="IntenseQuote">
    <w:name w:val="Intense Quote"/>
    <w:basedOn w:val="Normal"/>
    <w:next w:val="Normal"/>
    <w:link w:val="IntenseQuoteChar"/>
    <w:uiPriority w:val="30"/>
    <w:qFormat/>
    <w:rsid w:val="007A6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1A3"/>
    <w:rPr>
      <w:rFonts w:ascii="Arial" w:hAnsi="Arial" w:cs="Arial"/>
      <w:i/>
      <w:iCs/>
      <w:color w:val="2F5496" w:themeColor="accent1" w:themeShade="BF"/>
      <w:sz w:val="24"/>
      <w:szCs w:val="24"/>
    </w:rPr>
  </w:style>
  <w:style w:type="character" w:styleId="IntenseReference">
    <w:name w:val="Intense Reference"/>
    <w:basedOn w:val="DefaultParagraphFont"/>
    <w:uiPriority w:val="32"/>
    <w:qFormat/>
    <w:rsid w:val="007A61A3"/>
    <w:rPr>
      <w:b/>
      <w:bCs/>
      <w:smallCaps/>
      <w:color w:val="2F5496" w:themeColor="accent1" w:themeShade="BF"/>
      <w:spacing w:val="5"/>
    </w:rPr>
  </w:style>
  <w:style w:type="paragraph" w:styleId="Header">
    <w:name w:val="header"/>
    <w:basedOn w:val="Normal"/>
    <w:link w:val="HeaderChar"/>
    <w:uiPriority w:val="99"/>
    <w:unhideWhenUsed/>
    <w:rsid w:val="008F01F2"/>
    <w:pPr>
      <w:tabs>
        <w:tab w:val="center" w:pos="4513"/>
        <w:tab w:val="right" w:pos="9026"/>
      </w:tabs>
      <w:spacing w:line="240" w:lineRule="auto"/>
    </w:pPr>
  </w:style>
  <w:style w:type="character" w:customStyle="1" w:styleId="HeaderChar">
    <w:name w:val="Header Char"/>
    <w:basedOn w:val="DefaultParagraphFont"/>
    <w:link w:val="Header"/>
    <w:uiPriority w:val="99"/>
    <w:rsid w:val="008F01F2"/>
    <w:rPr>
      <w:rFonts w:ascii="Calibri" w:hAnsi="Calibri" w:cs="Calibri"/>
      <w:sz w:val="24"/>
      <w:szCs w:val="24"/>
    </w:rPr>
  </w:style>
  <w:style w:type="paragraph" w:styleId="Footer">
    <w:name w:val="footer"/>
    <w:basedOn w:val="Normal"/>
    <w:link w:val="FooterChar"/>
    <w:uiPriority w:val="99"/>
    <w:unhideWhenUsed/>
    <w:rsid w:val="008F01F2"/>
    <w:pPr>
      <w:tabs>
        <w:tab w:val="center" w:pos="4513"/>
        <w:tab w:val="right" w:pos="9026"/>
      </w:tabs>
      <w:spacing w:line="240" w:lineRule="auto"/>
    </w:pPr>
  </w:style>
  <w:style w:type="character" w:customStyle="1" w:styleId="FooterChar">
    <w:name w:val="Footer Char"/>
    <w:basedOn w:val="DefaultParagraphFont"/>
    <w:link w:val="Footer"/>
    <w:uiPriority w:val="99"/>
    <w:rsid w:val="008F01F2"/>
    <w:rPr>
      <w:rFonts w:ascii="Calibri" w:hAnsi="Calibri" w:cs="Calibri"/>
      <w:sz w:val="24"/>
      <w:szCs w:val="24"/>
    </w:rPr>
  </w:style>
  <w:style w:type="paragraph" w:styleId="FootnoteText">
    <w:name w:val="footnote text"/>
    <w:basedOn w:val="Normal"/>
    <w:link w:val="FootnoteTextChar"/>
    <w:uiPriority w:val="99"/>
    <w:semiHidden/>
    <w:unhideWhenUsed/>
    <w:rsid w:val="008F01F2"/>
    <w:pPr>
      <w:spacing w:line="240" w:lineRule="auto"/>
    </w:pPr>
    <w:rPr>
      <w:sz w:val="20"/>
      <w:szCs w:val="20"/>
    </w:rPr>
  </w:style>
  <w:style w:type="character" w:customStyle="1" w:styleId="FootnoteTextChar">
    <w:name w:val="Footnote Text Char"/>
    <w:basedOn w:val="DefaultParagraphFont"/>
    <w:link w:val="FootnoteText"/>
    <w:uiPriority w:val="99"/>
    <w:semiHidden/>
    <w:rsid w:val="008F01F2"/>
    <w:rPr>
      <w:rFonts w:ascii="Calibri" w:hAnsi="Calibri" w:cs="Calibri"/>
      <w:sz w:val="20"/>
      <w:szCs w:val="20"/>
    </w:rPr>
  </w:style>
  <w:style w:type="character" w:styleId="FootnoteReference">
    <w:name w:val="footnote reference"/>
    <w:basedOn w:val="DefaultParagraphFont"/>
    <w:uiPriority w:val="99"/>
    <w:semiHidden/>
    <w:unhideWhenUsed/>
    <w:rsid w:val="008F01F2"/>
    <w:rPr>
      <w:vertAlign w:val="superscript"/>
    </w:rPr>
  </w:style>
  <w:style w:type="character" w:styleId="Hyperlink">
    <w:name w:val="Hyperlink"/>
    <w:basedOn w:val="DefaultParagraphFont"/>
    <w:uiPriority w:val="99"/>
    <w:unhideWhenUsed/>
    <w:rsid w:val="008F01F2"/>
    <w:rPr>
      <w:color w:val="0563C1" w:themeColor="hyperlink"/>
      <w:u w:val="single"/>
    </w:rPr>
  </w:style>
  <w:style w:type="character" w:styleId="UnresolvedMention">
    <w:name w:val="Unresolved Mention"/>
    <w:basedOn w:val="DefaultParagraphFont"/>
    <w:uiPriority w:val="99"/>
    <w:semiHidden/>
    <w:unhideWhenUsed/>
    <w:rsid w:val="008F01F2"/>
    <w:rPr>
      <w:color w:val="605E5C"/>
      <w:shd w:val="clear" w:color="auto" w:fill="E1DFDD"/>
    </w:rPr>
  </w:style>
  <w:style w:type="paragraph" w:styleId="Revision">
    <w:name w:val="Revision"/>
    <w:hidden/>
    <w:uiPriority w:val="99"/>
    <w:semiHidden/>
    <w:rsid w:val="00A54C18"/>
    <w:pPr>
      <w:spacing w:after="0" w:line="240" w:lineRule="auto"/>
    </w:pPr>
    <w:rPr>
      <w:rFonts w:ascii="Calibri" w:hAnsi="Calibri" w:cs="Calibri"/>
      <w:sz w:val="24"/>
      <w:szCs w:val="24"/>
    </w:rPr>
  </w:style>
  <w:style w:type="character" w:styleId="CommentReference">
    <w:name w:val="annotation reference"/>
    <w:basedOn w:val="DefaultParagraphFont"/>
    <w:uiPriority w:val="99"/>
    <w:semiHidden/>
    <w:unhideWhenUsed/>
    <w:rsid w:val="00A54C18"/>
    <w:rPr>
      <w:sz w:val="16"/>
      <w:szCs w:val="16"/>
    </w:rPr>
  </w:style>
  <w:style w:type="paragraph" w:styleId="CommentText">
    <w:name w:val="annotation text"/>
    <w:basedOn w:val="Normal"/>
    <w:link w:val="CommentTextChar"/>
    <w:uiPriority w:val="99"/>
    <w:unhideWhenUsed/>
    <w:rsid w:val="00A54C18"/>
    <w:pPr>
      <w:spacing w:line="240" w:lineRule="auto"/>
    </w:pPr>
    <w:rPr>
      <w:sz w:val="20"/>
      <w:szCs w:val="20"/>
    </w:rPr>
  </w:style>
  <w:style w:type="character" w:customStyle="1" w:styleId="CommentTextChar">
    <w:name w:val="Comment Text Char"/>
    <w:basedOn w:val="DefaultParagraphFont"/>
    <w:link w:val="CommentText"/>
    <w:uiPriority w:val="99"/>
    <w:rsid w:val="00A54C1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54C18"/>
    <w:rPr>
      <w:b/>
      <w:bCs/>
    </w:rPr>
  </w:style>
  <w:style w:type="character" w:customStyle="1" w:styleId="CommentSubjectChar">
    <w:name w:val="Comment Subject Char"/>
    <w:basedOn w:val="CommentTextChar"/>
    <w:link w:val="CommentSubject"/>
    <w:uiPriority w:val="99"/>
    <w:semiHidden/>
    <w:rsid w:val="00A54C1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50848">
      <w:bodyDiv w:val="1"/>
      <w:marLeft w:val="0"/>
      <w:marRight w:val="0"/>
      <w:marTop w:val="0"/>
      <w:marBottom w:val="0"/>
      <w:divBdr>
        <w:top w:val="none" w:sz="0" w:space="0" w:color="auto"/>
        <w:left w:val="none" w:sz="0" w:space="0" w:color="auto"/>
        <w:bottom w:val="none" w:sz="0" w:space="0" w:color="auto"/>
        <w:right w:val="none" w:sz="0" w:space="0" w:color="auto"/>
      </w:divBdr>
      <w:divsChild>
        <w:div w:id="1665477812">
          <w:marLeft w:val="0"/>
          <w:marRight w:val="0"/>
          <w:marTop w:val="0"/>
          <w:marBottom w:val="0"/>
          <w:divBdr>
            <w:top w:val="none" w:sz="0" w:space="0" w:color="auto"/>
            <w:left w:val="none" w:sz="0" w:space="0" w:color="auto"/>
            <w:bottom w:val="none" w:sz="0" w:space="0" w:color="auto"/>
            <w:right w:val="none" w:sz="0" w:space="0" w:color="auto"/>
          </w:divBdr>
        </w:div>
        <w:div w:id="2051107098">
          <w:marLeft w:val="0"/>
          <w:marRight w:val="0"/>
          <w:marTop w:val="0"/>
          <w:marBottom w:val="0"/>
          <w:divBdr>
            <w:top w:val="none" w:sz="0" w:space="0" w:color="auto"/>
            <w:left w:val="none" w:sz="0" w:space="0" w:color="auto"/>
            <w:bottom w:val="none" w:sz="0" w:space="0" w:color="auto"/>
            <w:right w:val="none" w:sz="0" w:space="0" w:color="auto"/>
          </w:divBdr>
          <w:divsChild>
            <w:div w:id="75254191">
              <w:marLeft w:val="0"/>
              <w:marRight w:val="0"/>
              <w:marTop w:val="0"/>
              <w:marBottom w:val="0"/>
              <w:divBdr>
                <w:top w:val="none" w:sz="0" w:space="0" w:color="auto"/>
                <w:left w:val="none" w:sz="0" w:space="0" w:color="auto"/>
                <w:bottom w:val="none" w:sz="0" w:space="0" w:color="auto"/>
                <w:right w:val="none" w:sz="0" w:space="0" w:color="auto"/>
              </w:divBdr>
            </w:div>
            <w:div w:id="1386833031">
              <w:marLeft w:val="0"/>
              <w:marRight w:val="0"/>
              <w:marTop w:val="0"/>
              <w:marBottom w:val="0"/>
              <w:divBdr>
                <w:top w:val="none" w:sz="0" w:space="0" w:color="auto"/>
                <w:left w:val="none" w:sz="0" w:space="0" w:color="auto"/>
                <w:bottom w:val="none" w:sz="0" w:space="0" w:color="auto"/>
                <w:right w:val="none" w:sz="0" w:space="0" w:color="auto"/>
              </w:divBdr>
            </w:div>
            <w:div w:id="998532123">
              <w:marLeft w:val="0"/>
              <w:marRight w:val="0"/>
              <w:marTop w:val="0"/>
              <w:marBottom w:val="0"/>
              <w:divBdr>
                <w:top w:val="none" w:sz="0" w:space="0" w:color="auto"/>
                <w:left w:val="none" w:sz="0" w:space="0" w:color="auto"/>
                <w:bottom w:val="none" w:sz="0" w:space="0" w:color="auto"/>
                <w:right w:val="none" w:sz="0" w:space="0" w:color="auto"/>
              </w:divBdr>
            </w:div>
          </w:divsChild>
        </w:div>
        <w:div w:id="76291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39744dfe90e077c26bd5714/ALB_FFM_report_on_human_trafficking.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6910584ab418ab05559244c/ALB+CPIN+Human+traffick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6910584ab418ab05559244c/ALB+CPIN+Human+trafficki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albania/media/5356/file/Economic%20reintegration%20of%20trafficking%20survivors%20in%20Albani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910584ab418ab05559244c/ALB+CPIN+Human+traffic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575708E778D42A519A88D952A29B2" ma:contentTypeVersion="21" ma:contentTypeDescription="Create a new document." ma:contentTypeScope="" ma:versionID="96806dfa5303bec4342063771183989b">
  <xsd:schema xmlns:xsd="http://www.w3.org/2001/XMLSchema" xmlns:xs="http://www.w3.org/2001/XMLSchema" xmlns:p="http://schemas.microsoft.com/office/2006/metadata/properties" xmlns:ns1="http://schemas.microsoft.com/sharepoint/v3" xmlns:ns2="cc1adb94-6f70-49f4-a822-57dbe10d79fb" xmlns:ns3="ba27a185-c258-4b9e-b8f9-2457dc2ff51b" targetNamespace="http://schemas.microsoft.com/office/2006/metadata/properties" ma:root="true" ma:fieldsID="a6510859c150ced64696036d7d6905ce" ns1:_="" ns2:_="" ns3:_="">
    <xsd:import namespace="http://schemas.microsoft.com/sharepoint/v3"/>
    <xsd:import namespace="cc1adb94-6f70-49f4-a822-57dbe10d79fb"/>
    <xsd:import namespace="ba27a185-c258-4b9e-b8f9-2457dc2ff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adb94-6f70-49f4-a822-57dbe10d7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7a185-c258-4b9e-b8f9-2457dc2ff51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0100e82-092d-4eff-ad9f-8073520657cf}" ma:internalName="TaxCatchAll" ma:showField="CatchAllData" ma:web="ba27a185-c258-4b9e-b8f9-2457dc2ff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a27a185-c258-4b9e-b8f9-2457dc2ff51b" xsi:nil="true"/>
    <lcf76f155ced4ddcb4097134ff3c332f xmlns="cc1adb94-6f70-49f4-a822-57dbe10d79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812BB-E483-4B47-92D0-8989EA96BD2B}"/>
</file>

<file path=customXml/itemProps2.xml><?xml version="1.0" encoding="utf-8"?>
<ds:datastoreItem xmlns:ds="http://schemas.openxmlformats.org/officeDocument/2006/customXml" ds:itemID="{DA61ABD6-6CE2-4F26-B7A2-9B60204DBDC6}">
  <ds:schemaRefs>
    <ds:schemaRef ds:uri="http://schemas.openxmlformats.org/officeDocument/2006/bibliography"/>
  </ds:schemaRefs>
</ds:datastoreItem>
</file>

<file path=customXml/itemProps3.xml><?xml version="1.0" encoding="utf-8"?>
<ds:datastoreItem xmlns:ds="http://schemas.openxmlformats.org/officeDocument/2006/customXml" ds:itemID="{892FC41E-CBF7-44ED-9E4B-F9739D11BF1E}">
  <ds:schemaRefs>
    <ds:schemaRef ds:uri="http://schemas.microsoft.com/office/2006/metadata/properties"/>
    <ds:schemaRef ds:uri="http://schemas.microsoft.com/office/infopath/2007/PartnerControls"/>
    <ds:schemaRef ds:uri="http://schemas.microsoft.com/sharepoint/v3"/>
    <ds:schemaRef ds:uri="ba27a185-c258-4b9e-b8f9-2457dc2ff51b"/>
    <ds:schemaRef ds:uri="cc1adb94-6f70-49f4-a822-57dbe10d79fb"/>
  </ds:schemaRefs>
</ds:datastoreItem>
</file>

<file path=customXml/itemProps4.xml><?xml version="1.0" encoding="utf-8"?>
<ds:datastoreItem xmlns:ds="http://schemas.openxmlformats.org/officeDocument/2006/customXml" ds:itemID="{C90E3DD8-CF0D-4FCF-81D9-97A83F1D4D62}">
  <ds:schemaRefs>
    <ds:schemaRef ds:uri="http://schemas.microsoft.com/sharepoint/v3/contenttype/forms"/>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Sardar</dc:creator>
  <cp:keywords/>
  <dc:description/>
  <cp:lastModifiedBy>Deborah Thackray (ILC)</cp:lastModifiedBy>
  <cp:revision>15</cp:revision>
  <dcterms:created xsi:type="dcterms:W3CDTF">2025-10-22T12:50:00Z</dcterms:created>
  <dcterms:modified xsi:type="dcterms:W3CDTF">2025-10-22T13:04:00Z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0x010100339575708E778D42A519A88D952A29B2</vt:lpwstr>
  </property>
  <property fmtid="{D5CDD505-2E9C-101B-9397-08002B2CF9AE}" pid="3" name="MediaServiceImageTags">
    <vt:lpwstr/>
  </property>
</Properties>
</file>